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91C" w:rsidRPr="00072966" w:rsidRDefault="0046491C" w:rsidP="00E34F08">
      <w:pPr>
        <w:spacing w:after="0" w:line="360" w:lineRule="auto"/>
        <w:jc w:val="both"/>
        <w:rPr>
          <w:rFonts w:ascii="Palatino Linotype" w:hAnsi="Palatino Linotype" w:cs="Arial"/>
          <w:sz w:val="24"/>
          <w:szCs w:val="24"/>
        </w:rPr>
      </w:pPr>
      <w:r w:rsidRPr="00072966">
        <w:rPr>
          <w:rFonts w:ascii="Palatino Linotype" w:hAnsi="Palatino Linotype" w:cs="Arial"/>
          <w:b/>
          <w:sz w:val="24"/>
          <w:szCs w:val="24"/>
        </w:rPr>
        <w:t>VOTO PARTICULAR DEL COMISIONADO JOSÉ GUADA</w:t>
      </w:r>
      <w:r w:rsidR="00D72985" w:rsidRPr="00072966">
        <w:rPr>
          <w:rFonts w:ascii="Palatino Linotype" w:hAnsi="Palatino Linotype" w:cs="Arial"/>
          <w:b/>
          <w:sz w:val="24"/>
          <w:szCs w:val="24"/>
        </w:rPr>
        <w:t>LUPE LUNA HERNÁNDEZ DEL RECURSO</w:t>
      </w:r>
      <w:r w:rsidR="00BF3534" w:rsidRPr="00072966">
        <w:rPr>
          <w:rFonts w:ascii="Palatino Linotype" w:hAnsi="Palatino Linotype" w:cs="Arial"/>
          <w:b/>
          <w:sz w:val="24"/>
          <w:szCs w:val="24"/>
        </w:rPr>
        <w:t xml:space="preserve"> DE REVISIÓN </w:t>
      </w:r>
      <w:r w:rsidR="00BA3743">
        <w:rPr>
          <w:rFonts w:ascii="Palatino Linotype" w:hAnsi="Palatino Linotype" w:cs="Arial"/>
          <w:b/>
          <w:sz w:val="24"/>
          <w:szCs w:val="24"/>
        </w:rPr>
        <w:t>0</w:t>
      </w:r>
      <w:r w:rsidR="001754A4">
        <w:rPr>
          <w:rFonts w:ascii="Palatino Linotype" w:hAnsi="Palatino Linotype" w:cs="Arial"/>
          <w:b/>
          <w:sz w:val="24"/>
          <w:szCs w:val="24"/>
        </w:rPr>
        <w:t>3</w:t>
      </w:r>
      <w:r w:rsidR="00FA6542">
        <w:rPr>
          <w:rFonts w:ascii="Palatino Linotype" w:hAnsi="Palatino Linotype" w:cs="Arial"/>
          <w:b/>
          <w:sz w:val="24"/>
          <w:szCs w:val="24"/>
        </w:rPr>
        <w:t>995</w:t>
      </w:r>
      <w:r w:rsidR="00C7250F" w:rsidRPr="00072966">
        <w:rPr>
          <w:rFonts w:ascii="Palatino Linotype" w:hAnsi="Palatino Linotype" w:cs="Arial"/>
          <w:b/>
          <w:sz w:val="24"/>
          <w:szCs w:val="24"/>
        </w:rPr>
        <w:t>/INFOEM/IP/RR/2018</w:t>
      </w:r>
      <w:r w:rsidR="0000525F" w:rsidRPr="00072966">
        <w:rPr>
          <w:rFonts w:ascii="Palatino Linotype" w:hAnsi="Palatino Linotype" w:cs="Arial"/>
          <w:b/>
          <w:sz w:val="24"/>
          <w:szCs w:val="24"/>
        </w:rPr>
        <w:t>.</w:t>
      </w:r>
    </w:p>
    <w:p w:rsidR="00902248" w:rsidRPr="007B476C" w:rsidRDefault="00902248" w:rsidP="003C7244">
      <w:pPr>
        <w:spacing w:after="0" w:line="276" w:lineRule="auto"/>
        <w:jc w:val="both"/>
        <w:rPr>
          <w:rFonts w:ascii="Palatino Linotype" w:hAnsi="Palatino Linotype" w:cs="Arial"/>
          <w:sz w:val="4"/>
          <w:szCs w:val="24"/>
        </w:rPr>
      </w:pPr>
    </w:p>
    <w:p w:rsidR="0046491C" w:rsidRPr="00072966" w:rsidRDefault="0046491C" w:rsidP="00E34F08">
      <w:pPr>
        <w:spacing w:after="0" w:line="360" w:lineRule="auto"/>
        <w:jc w:val="both"/>
        <w:rPr>
          <w:rFonts w:ascii="Palatino Linotype" w:hAnsi="Palatino Linotype" w:cs="Arial"/>
          <w:b/>
          <w:sz w:val="24"/>
          <w:szCs w:val="24"/>
        </w:rPr>
      </w:pPr>
      <w:r w:rsidRPr="00072966">
        <w:rPr>
          <w:rFonts w:ascii="Palatino Linotype" w:hAnsi="Palatino Linotype" w:cs="Arial"/>
          <w:b/>
          <w:sz w:val="24"/>
          <w:szCs w:val="24"/>
        </w:rPr>
        <w:t>Líneas argumentativas:</w:t>
      </w:r>
    </w:p>
    <w:p w:rsidR="00902248" w:rsidRPr="00A96F87" w:rsidRDefault="00902248" w:rsidP="007B476C">
      <w:pPr>
        <w:spacing w:after="0" w:line="276" w:lineRule="auto"/>
        <w:jc w:val="both"/>
        <w:rPr>
          <w:rFonts w:ascii="Palatino Linotype" w:hAnsi="Palatino Linotype" w:cs="Arial"/>
          <w:sz w:val="14"/>
          <w:szCs w:val="24"/>
        </w:rPr>
      </w:pPr>
    </w:p>
    <w:p w:rsidR="0046491C" w:rsidRPr="00072966" w:rsidRDefault="0046491C" w:rsidP="00BB0520">
      <w:pPr>
        <w:spacing w:after="0" w:line="360" w:lineRule="auto"/>
        <w:jc w:val="both"/>
        <w:rPr>
          <w:rFonts w:ascii="Palatino Linotype" w:hAnsi="Palatino Linotype" w:cs="Arial"/>
          <w:sz w:val="24"/>
          <w:szCs w:val="24"/>
        </w:rPr>
      </w:pPr>
      <w:r w:rsidRPr="00072966">
        <w:rPr>
          <w:rFonts w:ascii="Palatino Linotype" w:hAnsi="Palatino Linotype" w:cs="Arial"/>
          <w:sz w:val="24"/>
          <w:szCs w:val="24"/>
        </w:rPr>
        <w:t>El Órgano Garante del derecho de acceso a la información pública no debe imponerles las cargas formales del proceso jurisdiccional a los particulares.</w:t>
      </w:r>
    </w:p>
    <w:p w:rsidR="0046491C" w:rsidRPr="007B476C" w:rsidRDefault="0046491C" w:rsidP="00BB0520">
      <w:pPr>
        <w:spacing w:after="0" w:line="360" w:lineRule="auto"/>
        <w:jc w:val="both"/>
        <w:rPr>
          <w:rFonts w:ascii="Palatino Linotype" w:hAnsi="Palatino Linotype" w:cs="Arial"/>
          <w:sz w:val="10"/>
          <w:szCs w:val="24"/>
        </w:rPr>
      </w:pPr>
    </w:p>
    <w:p w:rsidR="007B476C" w:rsidRPr="001C3BD8" w:rsidRDefault="007B476C" w:rsidP="00BB0520">
      <w:pPr>
        <w:spacing w:after="0" w:line="360" w:lineRule="auto"/>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t>P</w:t>
      </w:r>
      <w:r w:rsidRPr="001C3BD8">
        <w:rPr>
          <w:rFonts w:ascii="Palatino Linotype" w:hAnsi="Palatino Linotype"/>
          <w:sz w:val="24"/>
          <w:szCs w:val="24"/>
          <w:lang w:val="es-ES_tradnl"/>
        </w:rPr>
        <w:t xml:space="preserve">ara acreditar la reserva de la información, es necesario que se actualicen los siguientes requisitos: </w:t>
      </w:r>
    </w:p>
    <w:p w:rsidR="007B476C" w:rsidRPr="001C3BD8" w:rsidRDefault="007B476C" w:rsidP="00BB0520">
      <w:pPr>
        <w:pStyle w:val="Prrafodelista"/>
        <w:numPr>
          <w:ilvl w:val="0"/>
          <w:numId w:val="38"/>
        </w:numPr>
        <w:spacing w:after="0" w:line="360" w:lineRule="auto"/>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t>La existencia de un juicio o procedimiento administrativo materialmente jurisdiccional.</w:t>
      </w:r>
    </w:p>
    <w:p w:rsidR="007B476C" w:rsidRPr="001C3BD8" w:rsidRDefault="007B476C" w:rsidP="00BB0520">
      <w:pPr>
        <w:pStyle w:val="Prrafodelista"/>
        <w:numPr>
          <w:ilvl w:val="0"/>
          <w:numId w:val="38"/>
        </w:numPr>
        <w:spacing w:after="0" w:line="360" w:lineRule="auto"/>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t xml:space="preserve">Que el juicio se encuentre en trámite, es decir, que no haya causado estado. </w:t>
      </w:r>
    </w:p>
    <w:p w:rsidR="007B476C" w:rsidRPr="001C3BD8" w:rsidRDefault="007B476C" w:rsidP="00BB0520">
      <w:pPr>
        <w:pStyle w:val="Prrafodelista"/>
        <w:numPr>
          <w:ilvl w:val="0"/>
          <w:numId w:val="38"/>
        </w:numPr>
        <w:spacing w:after="0" w:line="360" w:lineRule="auto"/>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t xml:space="preserve">El vínculo entre la información solicitada y el procedimiento judicial de que se trate. </w:t>
      </w:r>
    </w:p>
    <w:p w:rsidR="007B476C" w:rsidRPr="001C3BD8" w:rsidRDefault="007B476C" w:rsidP="00BB0520">
      <w:pPr>
        <w:pStyle w:val="Prrafodelista"/>
        <w:numPr>
          <w:ilvl w:val="0"/>
          <w:numId w:val="38"/>
        </w:numPr>
        <w:spacing w:after="0" w:line="360" w:lineRule="auto"/>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t xml:space="preserve">Que la difusión de la información pueda causar un daño y/o perjuicio a las atribuciones del Tribunal durante el juicio; es decir, que el contenido de la información vulnere, impida u obstruya los procedimientos que se ventilan. </w:t>
      </w:r>
    </w:p>
    <w:p w:rsidR="007B476C" w:rsidRPr="007B476C" w:rsidRDefault="007B476C" w:rsidP="00BB0520">
      <w:pPr>
        <w:spacing w:after="0" w:line="360" w:lineRule="auto"/>
        <w:jc w:val="both"/>
        <w:rPr>
          <w:rFonts w:ascii="Palatino Linotype" w:hAnsi="Palatino Linotype" w:cs="Arial"/>
          <w:sz w:val="10"/>
          <w:szCs w:val="24"/>
          <w:lang w:val="es-ES_tradnl"/>
        </w:rPr>
      </w:pPr>
    </w:p>
    <w:p w:rsidR="007B476C" w:rsidRPr="001C3BD8" w:rsidRDefault="007B476C" w:rsidP="00BB0520">
      <w:pPr>
        <w:spacing w:after="0" w:line="360" w:lineRule="auto"/>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t xml:space="preserve">Para que el Sujeto Obligado determine clasificar la información como reservada, es necesario que éste actualice cuatro requisitos, de los cuales, si alguno de estos faltase, no es procedente su reserva, para esto, es menester que se realice un estudio minucioso de la información, ajustando en todo momento las circunstancias de modo tiempo y lugar a la hipótesis que configura la clasificación. </w:t>
      </w:r>
    </w:p>
    <w:p w:rsidR="003C7244" w:rsidRDefault="003C7244" w:rsidP="003C7244">
      <w:pPr>
        <w:spacing w:after="0" w:line="276" w:lineRule="auto"/>
        <w:jc w:val="both"/>
        <w:rPr>
          <w:rFonts w:ascii="Palatino Linotype" w:hAnsi="Palatino Linotype" w:cs="Arial"/>
          <w:sz w:val="24"/>
          <w:szCs w:val="24"/>
        </w:rPr>
      </w:pPr>
    </w:p>
    <w:p w:rsidR="00DC63EE" w:rsidRDefault="00DC63EE" w:rsidP="003C7244">
      <w:pPr>
        <w:spacing w:after="0" w:line="276" w:lineRule="auto"/>
        <w:jc w:val="both"/>
        <w:rPr>
          <w:rFonts w:ascii="Palatino Linotype" w:hAnsi="Palatino Linotype" w:cs="Arial"/>
          <w:sz w:val="24"/>
          <w:szCs w:val="24"/>
        </w:rPr>
      </w:pPr>
    </w:p>
    <w:p w:rsidR="00DC63EE" w:rsidRPr="00072966" w:rsidRDefault="00DC63EE" w:rsidP="003C7244">
      <w:pPr>
        <w:spacing w:after="0" w:line="276" w:lineRule="auto"/>
        <w:jc w:val="both"/>
        <w:rPr>
          <w:rFonts w:ascii="Palatino Linotype" w:hAnsi="Palatino Linotype" w:cs="Arial"/>
          <w:sz w:val="24"/>
          <w:szCs w:val="24"/>
        </w:rPr>
      </w:pPr>
    </w:p>
    <w:p w:rsidR="0046491C" w:rsidRPr="003C7244" w:rsidRDefault="0046491C" w:rsidP="00E34F08">
      <w:pPr>
        <w:spacing w:after="0" w:line="360" w:lineRule="auto"/>
        <w:jc w:val="both"/>
        <w:rPr>
          <w:rFonts w:ascii="Palatino Linotype" w:hAnsi="Palatino Linotype" w:cs="Arial"/>
          <w:sz w:val="28"/>
          <w:szCs w:val="24"/>
        </w:rPr>
      </w:pPr>
      <w:r w:rsidRPr="003C7244">
        <w:rPr>
          <w:rFonts w:ascii="Palatino Linotype" w:hAnsi="Palatino Linotype" w:cs="Arial"/>
          <w:b/>
          <w:sz w:val="28"/>
          <w:szCs w:val="24"/>
        </w:rPr>
        <w:t>Índice</w:t>
      </w:r>
    </w:p>
    <w:sdt>
      <w:sdtPr>
        <w:rPr>
          <w:rFonts w:ascii="Palatino Linotype" w:eastAsiaTheme="minorHAnsi" w:hAnsi="Palatino Linotype" w:cstheme="minorBidi"/>
          <w:color w:val="auto"/>
          <w:sz w:val="22"/>
          <w:szCs w:val="22"/>
          <w:lang w:val="es-ES" w:eastAsia="en-US"/>
        </w:rPr>
        <w:id w:val="-1628690016"/>
        <w:docPartObj>
          <w:docPartGallery w:val="Table of Contents"/>
          <w:docPartUnique/>
        </w:docPartObj>
      </w:sdtPr>
      <w:sdtEndPr>
        <w:rPr>
          <w:b/>
          <w:bCs/>
        </w:rPr>
      </w:sdtEndPr>
      <w:sdtContent>
        <w:p w:rsidR="0046491C" w:rsidRPr="00072966" w:rsidRDefault="0046491C" w:rsidP="00E34F08">
          <w:pPr>
            <w:pStyle w:val="TtulodeTDC"/>
            <w:spacing w:line="360" w:lineRule="auto"/>
            <w:rPr>
              <w:rFonts w:ascii="Palatino Linotype" w:hAnsi="Palatino Linotype"/>
            </w:rPr>
          </w:pPr>
        </w:p>
        <w:p w:rsidR="00BB0520" w:rsidRDefault="0046491C">
          <w:pPr>
            <w:pStyle w:val="TDC1"/>
            <w:rPr>
              <w:rFonts w:eastAsiaTheme="minorEastAsia"/>
              <w:noProof/>
              <w:lang w:eastAsia="es-MX"/>
            </w:rPr>
          </w:pPr>
          <w:r w:rsidRPr="00072966">
            <w:rPr>
              <w:rFonts w:ascii="Palatino Linotype" w:hAnsi="Palatino Linotype"/>
            </w:rPr>
            <w:fldChar w:fldCharType="begin"/>
          </w:r>
          <w:r w:rsidRPr="00072966">
            <w:rPr>
              <w:rFonts w:ascii="Palatino Linotype" w:hAnsi="Palatino Linotype"/>
            </w:rPr>
            <w:instrText xml:space="preserve"> TOC \o "1-3" \h \z \u </w:instrText>
          </w:r>
          <w:r w:rsidRPr="00072966">
            <w:rPr>
              <w:rFonts w:ascii="Palatino Linotype" w:hAnsi="Palatino Linotype"/>
            </w:rPr>
            <w:fldChar w:fldCharType="separate"/>
          </w:r>
          <w:hyperlink w:anchor="_Toc532811979" w:history="1">
            <w:r w:rsidR="00BB0520" w:rsidRPr="00EF4CDF">
              <w:rPr>
                <w:rStyle w:val="Hipervnculo"/>
                <w:rFonts w:ascii="Palatino Linotype" w:hAnsi="Palatino Linotype"/>
                <w:b/>
                <w:noProof/>
              </w:rPr>
              <w:t>I.</w:t>
            </w:r>
            <w:r w:rsidR="00BB0520">
              <w:rPr>
                <w:rFonts w:eastAsiaTheme="minorEastAsia"/>
                <w:noProof/>
                <w:lang w:eastAsia="es-MX"/>
              </w:rPr>
              <w:tab/>
            </w:r>
            <w:r w:rsidR="00BB0520" w:rsidRPr="00EF4CDF">
              <w:rPr>
                <w:rStyle w:val="Hipervnculo"/>
                <w:rFonts w:ascii="Palatino Linotype" w:hAnsi="Palatino Linotype"/>
                <w:b/>
                <w:noProof/>
              </w:rPr>
              <w:t>Consideraciones Generales.</w:t>
            </w:r>
            <w:r w:rsidR="00BB0520">
              <w:rPr>
                <w:noProof/>
                <w:webHidden/>
              </w:rPr>
              <w:tab/>
            </w:r>
            <w:r w:rsidR="00BB0520">
              <w:rPr>
                <w:noProof/>
                <w:webHidden/>
              </w:rPr>
              <w:fldChar w:fldCharType="begin"/>
            </w:r>
            <w:r w:rsidR="00BB0520">
              <w:rPr>
                <w:noProof/>
                <w:webHidden/>
              </w:rPr>
              <w:instrText xml:space="preserve"> PAGEREF _Toc532811979 \h </w:instrText>
            </w:r>
            <w:r w:rsidR="00BB0520">
              <w:rPr>
                <w:noProof/>
                <w:webHidden/>
              </w:rPr>
            </w:r>
            <w:r w:rsidR="00BB0520">
              <w:rPr>
                <w:noProof/>
                <w:webHidden/>
              </w:rPr>
              <w:fldChar w:fldCharType="separate"/>
            </w:r>
            <w:r w:rsidR="00BB0520">
              <w:rPr>
                <w:noProof/>
                <w:webHidden/>
              </w:rPr>
              <w:t>3</w:t>
            </w:r>
            <w:r w:rsidR="00BB0520">
              <w:rPr>
                <w:noProof/>
                <w:webHidden/>
              </w:rPr>
              <w:fldChar w:fldCharType="end"/>
            </w:r>
          </w:hyperlink>
        </w:p>
        <w:p w:rsidR="00BB0520" w:rsidRDefault="00342A35">
          <w:pPr>
            <w:pStyle w:val="TDC1"/>
            <w:rPr>
              <w:rFonts w:eastAsiaTheme="minorEastAsia"/>
              <w:noProof/>
              <w:lang w:eastAsia="es-MX"/>
            </w:rPr>
          </w:pPr>
          <w:hyperlink w:anchor="_Toc532811980" w:history="1">
            <w:r w:rsidR="00BB0520" w:rsidRPr="00EF4CDF">
              <w:rPr>
                <w:rStyle w:val="Hipervnculo"/>
                <w:rFonts w:ascii="Palatino Linotype" w:hAnsi="Palatino Linotype"/>
                <w:b/>
                <w:noProof/>
              </w:rPr>
              <w:t>II.</w:t>
            </w:r>
            <w:r w:rsidR="00BB0520">
              <w:rPr>
                <w:rFonts w:eastAsiaTheme="minorEastAsia"/>
                <w:noProof/>
                <w:lang w:eastAsia="es-MX"/>
              </w:rPr>
              <w:tab/>
            </w:r>
            <w:r w:rsidR="00BB0520" w:rsidRPr="00EF4CDF">
              <w:rPr>
                <w:rStyle w:val="Hipervnculo"/>
                <w:rFonts w:ascii="Palatino Linotype" w:hAnsi="Palatino Linotype"/>
                <w:b/>
                <w:noProof/>
              </w:rPr>
              <w:t>De los requerimientos planteados en el recurso de revisión.</w:t>
            </w:r>
            <w:r w:rsidR="00BB0520">
              <w:rPr>
                <w:noProof/>
                <w:webHidden/>
              </w:rPr>
              <w:tab/>
            </w:r>
            <w:r w:rsidR="00BB0520">
              <w:rPr>
                <w:noProof/>
                <w:webHidden/>
              </w:rPr>
              <w:fldChar w:fldCharType="begin"/>
            </w:r>
            <w:r w:rsidR="00BB0520">
              <w:rPr>
                <w:noProof/>
                <w:webHidden/>
              </w:rPr>
              <w:instrText xml:space="preserve"> PAGEREF _Toc532811980 \h </w:instrText>
            </w:r>
            <w:r w:rsidR="00BB0520">
              <w:rPr>
                <w:noProof/>
                <w:webHidden/>
              </w:rPr>
            </w:r>
            <w:r w:rsidR="00BB0520">
              <w:rPr>
                <w:noProof/>
                <w:webHidden/>
              </w:rPr>
              <w:fldChar w:fldCharType="separate"/>
            </w:r>
            <w:r w:rsidR="00BB0520">
              <w:rPr>
                <w:noProof/>
                <w:webHidden/>
              </w:rPr>
              <w:t>4</w:t>
            </w:r>
            <w:r w:rsidR="00BB0520">
              <w:rPr>
                <w:noProof/>
                <w:webHidden/>
              </w:rPr>
              <w:fldChar w:fldCharType="end"/>
            </w:r>
          </w:hyperlink>
        </w:p>
        <w:p w:rsidR="00BB0520" w:rsidRDefault="00342A35">
          <w:pPr>
            <w:pStyle w:val="TDC1"/>
            <w:rPr>
              <w:rFonts w:eastAsiaTheme="minorEastAsia"/>
              <w:noProof/>
              <w:lang w:eastAsia="es-MX"/>
            </w:rPr>
          </w:pPr>
          <w:hyperlink w:anchor="_Toc532811981" w:history="1">
            <w:r w:rsidR="00BB0520" w:rsidRPr="00EF4CDF">
              <w:rPr>
                <w:rStyle w:val="Hipervnculo"/>
                <w:rFonts w:ascii="Palatino Linotype" w:hAnsi="Palatino Linotype" w:cs="Arial"/>
                <w:b/>
                <w:noProof/>
                <w:lang w:val="es-ES_tradnl"/>
              </w:rPr>
              <w:t>III.</w:t>
            </w:r>
            <w:r w:rsidR="00BB0520">
              <w:rPr>
                <w:rFonts w:eastAsiaTheme="minorEastAsia"/>
                <w:noProof/>
                <w:lang w:eastAsia="es-MX"/>
              </w:rPr>
              <w:tab/>
            </w:r>
            <w:r w:rsidR="00BB0520" w:rsidRPr="00EF4CDF">
              <w:rPr>
                <w:rStyle w:val="Hipervnculo"/>
                <w:rFonts w:ascii="Palatino Linotype" w:hAnsi="Palatino Linotype"/>
                <w:b/>
                <w:noProof/>
              </w:rPr>
              <w:t>Efectos</w:t>
            </w:r>
            <w:r w:rsidR="00BB0520" w:rsidRPr="00EF4CDF">
              <w:rPr>
                <w:rStyle w:val="Hipervnculo"/>
                <w:rFonts w:ascii="Palatino Linotype" w:hAnsi="Palatino Linotype" w:cs="Arial"/>
                <w:b/>
                <w:noProof/>
                <w:lang w:val="es-ES_tradnl"/>
              </w:rPr>
              <w:t xml:space="preserve"> de la clasificación de información y la importancia de emitir acuerdos, para tales efectos, apegados a derecho.</w:t>
            </w:r>
            <w:r w:rsidR="00BB0520">
              <w:rPr>
                <w:noProof/>
                <w:webHidden/>
              </w:rPr>
              <w:tab/>
            </w:r>
            <w:r w:rsidR="00BB0520">
              <w:rPr>
                <w:noProof/>
                <w:webHidden/>
              </w:rPr>
              <w:fldChar w:fldCharType="begin"/>
            </w:r>
            <w:r w:rsidR="00BB0520">
              <w:rPr>
                <w:noProof/>
                <w:webHidden/>
              </w:rPr>
              <w:instrText xml:space="preserve"> PAGEREF _Toc532811981 \h </w:instrText>
            </w:r>
            <w:r w:rsidR="00BB0520">
              <w:rPr>
                <w:noProof/>
                <w:webHidden/>
              </w:rPr>
            </w:r>
            <w:r w:rsidR="00BB0520">
              <w:rPr>
                <w:noProof/>
                <w:webHidden/>
              </w:rPr>
              <w:fldChar w:fldCharType="separate"/>
            </w:r>
            <w:r w:rsidR="00BB0520">
              <w:rPr>
                <w:noProof/>
                <w:webHidden/>
              </w:rPr>
              <w:t>8</w:t>
            </w:r>
            <w:r w:rsidR="00BB0520">
              <w:rPr>
                <w:noProof/>
                <w:webHidden/>
              </w:rPr>
              <w:fldChar w:fldCharType="end"/>
            </w:r>
          </w:hyperlink>
        </w:p>
        <w:p w:rsidR="00072966" w:rsidRPr="003C7244" w:rsidRDefault="0046491C" w:rsidP="003C7244">
          <w:pPr>
            <w:spacing w:line="360" w:lineRule="auto"/>
            <w:rPr>
              <w:rFonts w:ascii="Palatino Linotype" w:hAnsi="Palatino Linotype"/>
            </w:rPr>
          </w:pPr>
          <w:r w:rsidRPr="00072966">
            <w:rPr>
              <w:rFonts w:ascii="Palatino Linotype" w:hAnsi="Palatino Linotype"/>
              <w:b/>
              <w:bCs/>
              <w:lang w:val="es-ES"/>
            </w:rPr>
            <w:fldChar w:fldCharType="end"/>
          </w:r>
        </w:p>
      </w:sdtContent>
    </w:sdt>
    <w:p w:rsidR="003C7244" w:rsidRDefault="003C7244" w:rsidP="003C7244"/>
    <w:p w:rsidR="007879C6" w:rsidRDefault="007879C6" w:rsidP="003C7244"/>
    <w:p w:rsidR="007879C6" w:rsidRDefault="007879C6" w:rsidP="003C7244"/>
    <w:p w:rsidR="007879C6" w:rsidRDefault="007879C6" w:rsidP="003C7244"/>
    <w:p w:rsidR="007879C6" w:rsidRDefault="007879C6" w:rsidP="003C7244"/>
    <w:p w:rsidR="003C7244" w:rsidRDefault="003C7244" w:rsidP="003C7244"/>
    <w:p w:rsidR="003C7244" w:rsidRDefault="003C7244" w:rsidP="003C7244"/>
    <w:p w:rsidR="003C7244" w:rsidRDefault="003C7244" w:rsidP="003C7244"/>
    <w:p w:rsidR="003C7244" w:rsidRDefault="003C7244" w:rsidP="003C7244"/>
    <w:p w:rsidR="0046491C" w:rsidRPr="00072966" w:rsidRDefault="0046491C" w:rsidP="00E34F08">
      <w:pPr>
        <w:pStyle w:val="Ttulo1"/>
        <w:numPr>
          <w:ilvl w:val="0"/>
          <w:numId w:val="12"/>
        </w:numPr>
        <w:spacing w:line="360" w:lineRule="auto"/>
        <w:rPr>
          <w:rFonts w:ascii="Palatino Linotype" w:hAnsi="Palatino Linotype"/>
          <w:b/>
          <w:color w:val="auto"/>
          <w:sz w:val="24"/>
          <w:szCs w:val="24"/>
        </w:rPr>
      </w:pPr>
      <w:bookmarkStart w:id="0" w:name="_Toc532811979"/>
      <w:r w:rsidRPr="00072966">
        <w:rPr>
          <w:rFonts w:ascii="Palatino Linotype" w:hAnsi="Palatino Linotype"/>
          <w:b/>
          <w:color w:val="auto"/>
          <w:sz w:val="24"/>
          <w:szCs w:val="24"/>
        </w:rPr>
        <w:lastRenderedPageBreak/>
        <w:t>Consideraciones Generales.</w:t>
      </w:r>
      <w:bookmarkEnd w:id="0"/>
    </w:p>
    <w:p w:rsidR="0046491C" w:rsidRPr="00072966" w:rsidRDefault="0046491C" w:rsidP="00DF7B12">
      <w:pPr>
        <w:pStyle w:val="Prrafodelista"/>
        <w:spacing w:after="0" w:line="240" w:lineRule="auto"/>
        <w:ind w:left="1080"/>
        <w:jc w:val="both"/>
        <w:rPr>
          <w:rFonts w:ascii="Palatino Linotype" w:hAnsi="Palatino Linotype" w:cs="Arial"/>
          <w:b/>
          <w:sz w:val="24"/>
          <w:szCs w:val="24"/>
        </w:rPr>
      </w:pPr>
    </w:p>
    <w:p w:rsidR="0046491C" w:rsidRPr="00072966" w:rsidRDefault="0046491C" w:rsidP="00BB0520">
      <w:pPr>
        <w:pStyle w:val="Prrafodelista"/>
        <w:numPr>
          <w:ilvl w:val="0"/>
          <w:numId w:val="1"/>
        </w:numPr>
        <w:spacing w:after="0" w:line="360" w:lineRule="auto"/>
        <w:jc w:val="both"/>
        <w:rPr>
          <w:rFonts w:ascii="Palatino Linotype" w:hAnsi="Palatino Linotype" w:cs="Arial"/>
          <w:sz w:val="24"/>
          <w:szCs w:val="24"/>
        </w:rPr>
      </w:pPr>
      <w:r w:rsidRPr="00072966">
        <w:rPr>
          <w:rFonts w:ascii="Palatino Linotype" w:eastAsia="Times New Roman" w:hAnsi="Palatino Linotype" w:cs="Arial"/>
          <w:sz w:val="24"/>
          <w:szCs w:val="24"/>
          <w:lang w:val="es-ES_tradnl"/>
        </w:rPr>
        <w:t xml:space="preserve">He concurrido con mi </w:t>
      </w:r>
      <w:r w:rsidR="00D33AF9" w:rsidRPr="00072966">
        <w:rPr>
          <w:rFonts w:ascii="Palatino Linotype" w:eastAsia="Times New Roman" w:hAnsi="Palatino Linotype" w:cs="Arial"/>
          <w:sz w:val="24"/>
          <w:szCs w:val="24"/>
          <w:lang w:val="es-ES_tradnl"/>
        </w:rPr>
        <w:t>voto</w:t>
      </w:r>
      <w:r w:rsidRPr="00072966">
        <w:rPr>
          <w:rFonts w:ascii="Palatino Linotype" w:eastAsia="Times New Roman" w:hAnsi="Palatino Linotype" w:cs="Arial"/>
          <w:sz w:val="24"/>
          <w:szCs w:val="24"/>
          <w:lang w:val="es-ES_tradnl"/>
        </w:rPr>
        <w:t xml:space="preserve"> particular de la presente resolución emitida </w:t>
      </w:r>
      <w:r w:rsidRPr="00072966">
        <w:rPr>
          <w:rFonts w:ascii="Palatino Linotype" w:hAnsi="Palatino Linotype" w:cs="Arial"/>
          <w:sz w:val="24"/>
          <w:szCs w:val="24"/>
        </w:rPr>
        <w:t>por el Pleno del Instituto de Transparencia, Acceso a la Información Pública y Protección de Datos Personales del Estado de Méxi</w:t>
      </w:r>
      <w:r w:rsidR="002C1F75" w:rsidRPr="00072966">
        <w:rPr>
          <w:rFonts w:ascii="Palatino Linotype" w:hAnsi="Palatino Linotype" w:cs="Arial"/>
          <w:sz w:val="24"/>
          <w:szCs w:val="24"/>
        </w:rPr>
        <w:t xml:space="preserve">co y Municipios, en su </w:t>
      </w:r>
      <w:r w:rsidR="00810197">
        <w:rPr>
          <w:rFonts w:ascii="Palatino Linotype" w:hAnsi="Palatino Linotype" w:cs="Arial"/>
          <w:sz w:val="24"/>
          <w:szCs w:val="24"/>
        </w:rPr>
        <w:t xml:space="preserve">Cuadragésima </w:t>
      </w:r>
      <w:r w:rsidR="00BB0520">
        <w:rPr>
          <w:rFonts w:ascii="Palatino Linotype" w:hAnsi="Palatino Linotype" w:cs="Arial"/>
          <w:sz w:val="24"/>
          <w:szCs w:val="24"/>
        </w:rPr>
        <w:t>Sexta</w:t>
      </w:r>
      <w:r w:rsidR="00BA3743" w:rsidRPr="00072966">
        <w:rPr>
          <w:rFonts w:ascii="Palatino Linotype" w:hAnsi="Palatino Linotype" w:cs="Arial"/>
          <w:sz w:val="24"/>
          <w:szCs w:val="24"/>
        </w:rPr>
        <w:t xml:space="preserve"> </w:t>
      </w:r>
      <w:r w:rsidRPr="00072966">
        <w:rPr>
          <w:rFonts w:ascii="Palatino Linotype" w:hAnsi="Palatino Linotype" w:cs="Arial"/>
          <w:sz w:val="24"/>
          <w:szCs w:val="24"/>
        </w:rPr>
        <w:t xml:space="preserve">sesión ordinaria </w:t>
      </w:r>
      <w:r w:rsidR="00C7250F" w:rsidRPr="00072966">
        <w:rPr>
          <w:rFonts w:ascii="Palatino Linotype" w:hAnsi="Palatino Linotype" w:cs="Arial"/>
          <w:sz w:val="24"/>
          <w:szCs w:val="24"/>
        </w:rPr>
        <w:t xml:space="preserve">de fecha </w:t>
      </w:r>
      <w:r w:rsidR="00BB0520">
        <w:rPr>
          <w:rFonts w:ascii="Palatino Linotype" w:hAnsi="Palatino Linotype" w:cs="Arial"/>
          <w:sz w:val="24"/>
          <w:szCs w:val="24"/>
        </w:rPr>
        <w:t>doce (12) de diciembre</w:t>
      </w:r>
      <w:r w:rsidR="00810197">
        <w:rPr>
          <w:rFonts w:ascii="Palatino Linotype" w:hAnsi="Palatino Linotype" w:cs="Arial"/>
          <w:sz w:val="24"/>
          <w:szCs w:val="24"/>
        </w:rPr>
        <w:t xml:space="preserve"> </w:t>
      </w:r>
      <w:r w:rsidR="00F86F9B" w:rsidRPr="005A15E9">
        <w:rPr>
          <w:rFonts w:ascii="Palatino Linotype" w:hAnsi="Palatino Linotype" w:cs="Arial"/>
          <w:sz w:val="24"/>
          <w:szCs w:val="24"/>
        </w:rPr>
        <w:t xml:space="preserve"> </w:t>
      </w:r>
      <w:r w:rsidR="0076241F" w:rsidRPr="005A15E9">
        <w:rPr>
          <w:rFonts w:ascii="Palatino Linotype" w:hAnsi="Palatino Linotype" w:cs="Arial"/>
          <w:sz w:val="24"/>
          <w:szCs w:val="24"/>
        </w:rPr>
        <w:t>de dos mil dieciocho</w:t>
      </w:r>
      <w:r w:rsidRPr="005A15E9">
        <w:rPr>
          <w:rFonts w:ascii="Palatino Linotype" w:hAnsi="Palatino Linotype" w:cs="Arial"/>
          <w:sz w:val="24"/>
          <w:szCs w:val="24"/>
        </w:rPr>
        <w:t>, en el recurso</w:t>
      </w:r>
      <w:r w:rsidR="002C1F75" w:rsidRPr="005A15E9">
        <w:rPr>
          <w:rFonts w:ascii="Palatino Linotype" w:hAnsi="Palatino Linotype" w:cs="Arial"/>
          <w:sz w:val="24"/>
          <w:szCs w:val="24"/>
        </w:rPr>
        <w:t xml:space="preserve"> de revisión promovido</w:t>
      </w:r>
      <w:r w:rsidRPr="005A15E9">
        <w:rPr>
          <w:rFonts w:ascii="Palatino Linotype" w:hAnsi="Palatino Linotype" w:cs="Arial"/>
          <w:sz w:val="24"/>
          <w:szCs w:val="24"/>
        </w:rPr>
        <w:t xml:space="preserve"> por</w:t>
      </w:r>
      <w:r w:rsidRPr="005A15E9">
        <w:rPr>
          <w:rFonts w:ascii="Palatino Linotype" w:hAnsi="Palatino Linotype" w:cs="Arial"/>
          <w:b/>
          <w:sz w:val="24"/>
          <w:szCs w:val="24"/>
        </w:rPr>
        <w:t xml:space="preserve"> </w:t>
      </w:r>
      <w:r w:rsidR="00E445F0" w:rsidRPr="00E445F0">
        <w:rPr>
          <w:rFonts w:ascii="Palatino Linotype" w:hAnsi="Palatino Linotype" w:cs="Arial"/>
          <w:b/>
          <w:sz w:val="24"/>
          <w:szCs w:val="24"/>
          <w:highlight w:val="black"/>
        </w:rPr>
        <w:t>--------------------------------</w:t>
      </w:r>
      <w:r w:rsidRPr="005A15E9">
        <w:rPr>
          <w:rFonts w:ascii="Palatino Linotype" w:hAnsi="Palatino Linotype" w:cs="Arial"/>
          <w:sz w:val="24"/>
          <w:szCs w:val="24"/>
        </w:rPr>
        <w:t>,</w:t>
      </w:r>
      <w:r w:rsidRPr="005A15E9">
        <w:rPr>
          <w:rFonts w:ascii="Palatino Linotype" w:hAnsi="Palatino Linotype" w:cs="Arial"/>
          <w:b/>
          <w:sz w:val="24"/>
          <w:szCs w:val="24"/>
        </w:rPr>
        <w:t xml:space="preserve"> </w:t>
      </w:r>
      <w:r w:rsidR="00BB0520" w:rsidRPr="00BB0520">
        <w:rPr>
          <w:rFonts w:ascii="Palatino Linotype" w:hAnsi="Palatino Linotype" w:cs="Arial"/>
          <w:sz w:val="24"/>
          <w:szCs w:val="24"/>
        </w:rPr>
        <w:t xml:space="preserve">en contra de la falta de respuesta del </w:t>
      </w:r>
      <w:r w:rsidR="00BB0520" w:rsidRPr="00BB0520">
        <w:rPr>
          <w:rFonts w:ascii="Palatino Linotype" w:hAnsi="Palatino Linotype" w:cs="Arial"/>
          <w:b/>
          <w:sz w:val="24"/>
          <w:szCs w:val="24"/>
        </w:rPr>
        <w:t>Ayuntamiento de Tultitlán</w:t>
      </w:r>
      <w:r w:rsidR="00BB0520">
        <w:rPr>
          <w:rFonts w:ascii="Palatino Linotype" w:hAnsi="Palatino Linotype" w:cs="Arial"/>
          <w:sz w:val="24"/>
          <w:szCs w:val="24"/>
        </w:rPr>
        <w:t xml:space="preserve">, </w:t>
      </w:r>
      <w:r w:rsidRPr="005A15E9">
        <w:rPr>
          <w:rFonts w:ascii="Palatino Linotype" w:hAnsi="Palatino Linotype" w:cs="Arial"/>
          <w:sz w:val="24"/>
          <w:szCs w:val="24"/>
        </w:rPr>
        <w:t>procedimiento a</w:t>
      </w:r>
      <w:r w:rsidR="0000525F" w:rsidRPr="005A15E9">
        <w:rPr>
          <w:rFonts w:ascii="Palatino Linotype" w:hAnsi="Palatino Linotype" w:cs="Arial"/>
          <w:sz w:val="24"/>
          <w:szCs w:val="24"/>
        </w:rPr>
        <w:t>l</w:t>
      </w:r>
      <w:r w:rsidR="00902248" w:rsidRPr="005A15E9">
        <w:rPr>
          <w:rFonts w:ascii="Palatino Linotype" w:hAnsi="Palatino Linotype" w:cs="Arial"/>
          <w:sz w:val="24"/>
          <w:szCs w:val="24"/>
        </w:rPr>
        <w:t xml:space="preserve"> que se le asignó </w:t>
      </w:r>
      <w:r w:rsidR="0000525F" w:rsidRPr="005A15E9">
        <w:rPr>
          <w:rFonts w:ascii="Palatino Linotype" w:hAnsi="Palatino Linotype" w:cs="Arial"/>
          <w:sz w:val="24"/>
          <w:szCs w:val="24"/>
        </w:rPr>
        <w:t>el</w:t>
      </w:r>
      <w:r w:rsidRPr="005A15E9">
        <w:rPr>
          <w:rFonts w:ascii="Palatino Linotype" w:hAnsi="Palatino Linotype" w:cs="Arial"/>
          <w:sz w:val="24"/>
          <w:szCs w:val="24"/>
        </w:rPr>
        <w:t xml:space="preserve"> número de expediente </w:t>
      </w:r>
      <w:r w:rsidR="0076241F" w:rsidRPr="005A15E9">
        <w:rPr>
          <w:rFonts w:ascii="Palatino Linotype" w:eastAsia="Times New Roman" w:hAnsi="Palatino Linotype" w:cs="Arial"/>
          <w:b/>
          <w:bCs/>
          <w:sz w:val="24"/>
          <w:szCs w:val="24"/>
          <w:lang w:eastAsia="es-ES"/>
        </w:rPr>
        <w:t>0</w:t>
      </w:r>
      <w:r w:rsidR="001754A4">
        <w:rPr>
          <w:rFonts w:ascii="Palatino Linotype" w:eastAsia="Times New Roman" w:hAnsi="Palatino Linotype" w:cs="Arial"/>
          <w:b/>
          <w:bCs/>
          <w:sz w:val="24"/>
          <w:szCs w:val="24"/>
          <w:lang w:eastAsia="es-ES"/>
        </w:rPr>
        <w:t>3</w:t>
      </w:r>
      <w:r w:rsidR="00BB0520">
        <w:rPr>
          <w:rFonts w:ascii="Palatino Linotype" w:eastAsia="Times New Roman" w:hAnsi="Palatino Linotype" w:cs="Arial"/>
          <w:b/>
          <w:bCs/>
          <w:sz w:val="24"/>
          <w:szCs w:val="24"/>
          <w:lang w:eastAsia="es-ES"/>
        </w:rPr>
        <w:t>995</w:t>
      </w:r>
      <w:r w:rsidR="001754A4">
        <w:rPr>
          <w:rFonts w:ascii="Palatino Linotype" w:eastAsia="Times New Roman" w:hAnsi="Palatino Linotype" w:cs="Arial"/>
          <w:b/>
          <w:bCs/>
          <w:sz w:val="24"/>
          <w:szCs w:val="24"/>
          <w:lang w:eastAsia="es-ES"/>
        </w:rPr>
        <w:t>/</w:t>
      </w:r>
      <w:r w:rsidR="00C7250F" w:rsidRPr="00072966">
        <w:rPr>
          <w:rFonts w:ascii="Palatino Linotype" w:eastAsia="Times New Roman" w:hAnsi="Palatino Linotype" w:cs="Arial"/>
          <w:b/>
          <w:bCs/>
          <w:sz w:val="24"/>
          <w:szCs w:val="24"/>
          <w:lang w:eastAsia="es-ES"/>
        </w:rPr>
        <w:t>INFOEM/IP/RR/2018</w:t>
      </w:r>
      <w:r w:rsidR="0000525F" w:rsidRPr="00072966">
        <w:rPr>
          <w:rFonts w:ascii="Palatino Linotype" w:eastAsia="Times New Roman" w:hAnsi="Palatino Linotype" w:cs="Arial"/>
          <w:b/>
          <w:bCs/>
          <w:sz w:val="24"/>
          <w:szCs w:val="24"/>
          <w:lang w:eastAsia="es-ES"/>
        </w:rPr>
        <w:t>.</w:t>
      </w:r>
    </w:p>
    <w:p w:rsidR="0000525F" w:rsidRPr="00072966" w:rsidRDefault="0000525F" w:rsidP="00DF7B12">
      <w:pPr>
        <w:pStyle w:val="Prrafodelista"/>
        <w:spacing w:after="0" w:line="240" w:lineRule="auto"/>
        <w:ind w:left="426"/>
        <w:jc w:val="both"/>
        <w:rPr>
          <w:rFonts w:ascii="Palatino Linotype" w:hAnsi="Palatino Linotype" w:cs="Arial"/>
          <w:sz w:val="24"/>
          <w:szCs w:val="24"/>
        </w:rPr>
      </w:pPr>
    </w:p>
    <w:p w:rsidR="00BB0520" w:rsidRPr="00BB0520" w:rsidRDefault="00C7250F" w:rsidP="00BB0520">
      <w:pPr>
        <w:pStyle w:val="Prrafodelista"/>
        <w:numPr>
          <w:ilvl w:val="0"/>
          <w:numId w:val="1"/>
        </w:numPr>
        <w:spacing w:before="240" w:after="0" w:line="360" w:lineRule="auto"/>
        <w:ind w:right="49"/>
        <w:jc w:val="both"/>
        <w:rPr>
          <w:rFonts w:ascii="Palatino Linotype" w:hAnsi="Palatino Linotype" w:cs="Arial"/>
          <w:sz w:val="24"/>
          <w:szCs w:val="24"/>
        </w:rPr>
      </w:pPr>
      <w:r w:rsidRPr="00810197">
        <w:rPr>
          <w:rFonts w:ascii="Palatino Linotype" w:hAnsi="Palatino Linotype" w:cs="Arial"/>
          <w:sz w:val="24"/>
          <w:szCs w:val="24"/>
        </w:rPr>
        <w:t>El sentido de la Resolución determin</w:t>
      </w:r>
      <w:r w:rsidR="00BF43E0" w:rsidRPr="00810197">
        <w:rPr>
          <w:rFonts w:ascii="Palatino Linotype" w:hAnsi="Palatino Linotype" w:cs="Arial"/>
          <w:sz w:val="24"/>
          <w:szCs w:val="24"/>
        </w:rPr>
        <w:t xml:space="preserve">ó </w:t>
      </w:r>
      <w:r w:rsidR="00BB0520" w:rsidRPr="00BB0520">
        <w:rPr>
          <w:rFonts w:ascii="Palatino Linotype" w:hAnsi="Palatino Linotype" w:cs="Arial"/>
          <w:b/>
          <w:sz w:val="24"/>
          <w:szCs w:val="24"/>
        </w:rPr>
        <w:t>ORDENAR</w:t>
      </w:r>
      <w:r w:rsidR="00BB0520">
        <w:rPr>
          <w:rFonts w:ascii="Palatino Linotype" w:hAnsi="Palatino Linotype" w:cs="Arial"/>
          <w:sz w:val="24"/>
          <w:szCs w:val="24"/>
        </w:rPr>
        <w:t xml:space="preserve"> atender la </w:t>
      </w:r>
      <w:r w:rsidR="00BB0520" w:rsidRPr="008152AB">
        <w:rPr>
          <w:rFonts w:ascii="Palatino Linotype" w:hAnsi="Palatino Linotype" w:cs="Arial"/>
          <w:sz w:val="24"/>
          <w:szCs w:val="24"/>
          <w:lang w:val="es-ES_tradnl"/>
        </w:rPr>
        <w:t>la solicitud de información  número</w:t>
      </w:r>
      <w:r w:rsidR="00BB0520">
        <w:rPr>
          <w:rFonts w:ascii="Palatino Linotype" w:hAnsi="Palatino Linotype" w:cs="Arial"/>
          <w:sz w:val="24"/>
          <w:szCs w:val="24"/>
          <w:lang w:val="es-ES_tradnl"/>
        </w:rPr>
        <w:t xml:space="preserve"> </w:t>
      </w:r>
      <w:r w:rsidR="00BB0520" w:rsidRPr="008152AB">
        <w:rPr>
          <w:rFonts w:ascii="Palatino Linotype" w:hAnsi="Palatino Linotype"/>
          <w:b/>
          <w:bCs/>
          <w:sz w:val="24"/>
          <w:szCs w:val="24"/>
        </w:rPr>
        <w:t>00</w:t>
      </w:r>
      <w:r w:rsidR="00BB0520">
        <w:rPr>
          <w:rFonts w:ascii="Palatino Linotype" w:hAnsi="Palatino Linotype"/>
          <w:b/>
          <w:bCs/>
          <w:sz w:val="24"/>
          <w:szCs w:val="24"/>
        </w:rPr>
        <w:t>133</w:t>
      </w:r>
      <w:r w:rsidR="00BB0520" w:rsidRPr="008152AB">
        <w:rPr>
          <w:rFonts w:ascii="Palatino Linotype" w:hAnsi="Palatino Linotype"/>
          <w:b/>
          <w:bCs/>
          <w:sz w:val="24"/>
          <w:szCs w:val="24"/>
        </w:rPr>
        <w:t>/</w:t>
      </w:r>
      <w:r w:rsidR="00BB0520">
        <w:rPr>
          <w:rFonts w:ascii="Palatino Linotype" w:hAnsi="Palatino Linotype"/>
          <w:b/>
          <w:bCs/>
          <w:sz w:val="24"/>
          <w:szCs w:val="24"/>
        </w:rPr>
        <w:t>TULTITLA</w:t>
      </w:r>
      <w:r w:rsidR="00BB0520" w:rsidRPr="008152AB">
        <w:rPr>
          <w:rFonts w:ascii="Palatino Linotype" w:hAnsi="Palatino Linotype"/>
          <w:b/>
          <w:bCs/>
          <w:sz w:val="24"/>
          <w:szCs w:val="24"/>
        </w:rPr>
        <w:t>/IP/2018</w:t>
      </w:r>
      <w:r w:rsidR="00BB0520">
        <w:rPr>
          <w:rFonts w:ascii="Palatino Linotype" w:hAnsi="Palatino Linotype"/>
          <w:b/>
          <w:bCs/>
          <w:sz w:val="24"/>
          <w:szCs w:val="24"/>
        </w:rPr>
        <w:t xml:space="preserve"> </w:t>
      </w:r>
      <w:r w:rsidR="00BB0520" w:rsidRPr="00BB0520">
        <w:rPr>
          <w:rFonts w:ascii="Palatino Linotype" w:hAnsi="Palatino Linotype"/>
          <w:bCs/>
          <w:sz w:val="24"/>
          <w:szCs w:val="24"/>
        </w:rPr>
        <w:t>y hacer entrega</w:t>
      </w:r>
      <w:r w:rsidR="00BB0520">
        <w:rPr>
          <w:rFonts w:ascii="Palatino Linotype" w:hAnsi="Palatino Linotype"/>
          <w:b/>
          <w:bCs/>
          <w:sz w:val="24"/>
          <w:szCs w:val="24"/>
        </w:rPr>
        <w:t xml:space="preserve"> </w:t>
      </w:r>
      <w:r w:rsidR="00BB0520" w:rsidRPr="00BB0520">
        <w:rPr>
          <w:rFonts w:ascii="Palatino Linotype" w:hAnsi="Palatino Linotype" w:cs="Arial"/>
          <w:sz w:val="24"/>
          <w:szCs w:val="24"/>
          <w:lang w:val="es-ES_tradnl"/>
        </w:rPr>
        <w:t xml:space="preserve">través del SAIMEX y en versión pública en caso de ser procedente, el o los documentos donde conste lo siguiente: </w:t>
      </w:r>
    </w:p>
    <w:p w:rsidR="00BB0520" w:rsidRPr="00BB0520" w:rsidRDefault="00BB0520" w:rsidP="00BB0520">
      <w:pPr>
        <w:pStyle w:val="Prrafodelista"/>
        <w:numPr>
          <w:ilvl w:val="0"/>
          <w:numId w:val="41"/>
        </w:numPr>
        <w:spacing w:before="240" w:after="240" w:line="276" w:lineRule="auto"/>
        <w:ind w:left="1560" w:right="616"/>
        <w:contextualSpacing w:val="0"/>
        <w:jc w:val="both"/>
        <w:rPr>
          <w:rFonts w:ascii="Palatino Linotype" w:hAnsi="Palatino Linotype"/>
          <w:i/>
        </w:rPr>
      </w:pPr>
      <w:r w:rsidRPr="00BB0520">
        <w:rPr>
          <w:rFonts w:ascii="Palatino Linotype" w:hAnsi="Palatino Linotype"/>
          <w:i/>
        </w:rPr>
        <w:t>Las colonias detectadas donde se concentra el mayor número de delitos.</w:t>
      </w:r>
    </w:p>
    <w:p w:rsidR="00BB0520" w:rsidRPr="00BB0520" w:rsidRDefault="00BB0520" w:rsidP="00BB0520">
      <w:pPr>
        <w:pStyle w:val="Prrafodelista"/>
        <w:numPr>
          <w:ilvl w:val="0"/>
          <w:numId w:val="41"/>
        </w:numPr>
        <w:spacing w:before="240" w:after="240" w:line="276" w:lineRule="auto"/>
        <w:ind w:left="1560" w:right="616"/>
        <w:contextualSpacing w:val="0"/>
        <w:jc w:val="both"/>
        <w:rPr>
          <w:rFonts w:ascii="Palatino Linotype" w:hAnsi="Palatino Linotype"/>
          <w:i/>
        </w:rPr>
      </w:pPr>
      <w:r w:rsidRPr="00BB0520">
        <w:rPr>
          <w:rFonts w:ascii="Palatino Linotype" w:hAnsi="Palatino Linotype"/>
          <w:i/>
        </w:rPr>
        <w:t xml:space="preserve">El o los Diagnósticos realizados en las colonias detectadas donde se contra el número mayor de delitos. </w:t>
      </w:r>
    </w:p>
    <w:p w:rsidR="00BB0520" w:rsidRPr="00BB0520" w:rsidRDefault="00BB0520" w:rsidP="00BB0520">
      <w:pPr>
        <w:pStyle w:val="Prrafodelista"/>
        <w:numPr>
          <w:ilvl w:val="0"/>
          <w:numId w:val="41"/>
        </w:numPr>
        <w:spacing w:before="240" w:after="240" w:line="276" w:lineRule="auto"/>
        <w:ind w:left="1560" w:right="616"/>
        <w:contextualSpacing w:val="0"/>
        <w:jc w:val="both"/>
        <w:rPr>
          <w:rFonts w:ascii="Palatino Linotype" w:hAnsi="Palatino Linotype"/>
          <w:i/>
        </w:rPr>
      </w:pPr>
      <w:r w:rsidRPr="00BB0520">
        <w:rPr>
          <w:rFonts w:ascii="Palatino Linotype" w:hAnsi="Palatino Linotype"/>
          <w:i/>
        </w:rPr>
        <w:t>La o las Estrategias que se llevan cabo en las colonias con mayor número de delitos.</w:t>
      </w:r>
    </w:p>
    <w:p w:rsidR="00BB0520" w:rsidRPr="00BB0520" w:rsidRDefault="00BB0520" w:rsidP="00BB0520">
      <w:pPr>
        <w:spacing w:before="240" w:after="240" w:line="360" w:lineRule="auto"/>
        <w:ind w:left="993" w:right="474"/>
        <w:jc w:val="both"/>
        <w:rPr>
          <w:rFonts w:ascii="Palatino Linotype" w:hAnsi="Palatino Linotype" w:cs="Arial"/>
          <w:i/>
          <w:sz w:val="24"/>
          <w:szCs w:val="24"/>
        </w:rPr>
      </w:pPr>
      <w:r w:rsidRPr="00BB0520">
        <w:rPr>
          <w:rFonts w:ascii="Palatino Linotype" w:hAnsi="Palatino Linotype" w:cs="Arial"/>
          <w:i/>
          <w:sz w:val="24"/>
          <w:szCs w:val="24"/>
        </w:rPr>
        <w:t xml:space="preserve">Como sustento de las versiones públicas, se deberá entregar el Acuerdo del Comité de Transparencia correspondiente, en términos del artículo 49 fracción VIII y 132 fracción II y III de la Ley de Transparencia y Acceso a la Información Pública del Estado de México y Municipios, en el que funde y </w:t>
      </w:r>
      <w:r w:rsidRPr="00BB0520">
        <w:rPr>
          <w:rFonts w:ascii="Palatino Linotype" w:hAnsi="Palatino Linotype" w:cs="Arial"/>
          <w:i/>
          <w:sz w:val="24"/>
          <w:szCs w:val="24"/>
        </w:rPr>
        <w:lastRenderedPageBreak/>
        <w:t xml:space="preserve">motive las razones sobre los datos que se supriman o eliminen dentro del soporte documental respectivo y se ponga a disposición del </w:t>
      </w:r>
      <w:r w:rsidRPr="00BB0520">
        <w:rPr>
          <w:rFonts w:ascii="Palatino Linotype" w:hAnsi="Palatino Linotype" w:cs="Arial"/>
          <w:b/>
          <w:i/>
          <w:sz w:val="24"/>
          <w:szCs w:val="24"/>
        </w:rPr>
        <w:t>Recurrente</w:t>
      </w:r>
      <w:r w:rsidRPr="00BB0520">
        <w:rPr>
          <w:rFonts w:ascii="Palatino Linotype" w:hAnsi="Palatino Linotype" w:cs="Arial"/>
          <w:i/>
          <w:sz w:val="24"/>
          <w:szCs w:val="24"/>
        </w:rPr>
        <w:t>.</w:t>
      </w:r>
    </w:p>
    <w:p w:rsidR="00BB0520" w:rsidRPr="00BB0520" w:rsidRDefault="00BB0520" w:rsidP="00BB0520">
      <w:pPr>
        <w:spacing w:before="240" w:after="240" w:line="360" w:lineRule="auto"/>
        <w:ind w:left="993" w:right="474"/>
        <w:jc w:val="both"/>
        <w:rPr>
          <w:rFonts w:ascii="Palatino Linotype" w:hAnsi="Palatino Linotype" w:cs="Arial"/>
          <w:i/>
          <w:sz w:val="24"/>
          <w:szCs w:val="24"/>
        </w:rPr>
      </w:pPr>
      <w:r w:rsidRPr="00BB0520">
        <w:rPr>
          <w:rFonts w:ascii="Palatino Linotype" w:hAnsi="Palatino Linotype" w:cs="Arial"/>
          <w:i/>
          <w:sz w:val="24"/>
          <w:szCs w:val="24"/>
        </w:rPr>
        <w:t>Para el caso de que la información solicitada encuadre con alguna causal de clasificación prevista en el artículo 140 de la Ley de la materia, deberá elaborar un Acuerdo de Clasificación que apruebe el Comité de Transparencia, en el que funde y motive la clasificación de dicha información como reservada en su totalidad, en términos de los artículos 129 y 141 de la citada Ley de la Transparencia, debiendo notificarlo al </w:t>
      </w:r>
      <w:r w:rsidRPr="00BB0520">
        <w:rPr>
          <w:rFonts w:ascii="Palatino Linotype" w:hAnsi="Palatino Linotype" w:cs="Arial"/>
          <w:b/>
          <w:i/>
          <w:sz w:val="24"/>
          <w:szCs w:val="24"/>
        </w:rPr>
        <w:t>Recurrente</w:t>
      </w:r>
      <w:r w:rsidRPr="00BB0520">
        <w:rPr>
          <w:rFonts w:ascii="Palatino Linotype" w:hAnsi="Palatino Linotype" w:cs="Arial"/>
          <w:i/>
          <w:sz w:val="24"/>
          <w:szCs w:val="24"/>
        </w:rPr>
        <w:t> al momento de dar cumplimiento a la presente resolución.</w:t>
      </w:r>
    </w:p>
    <w:p w:rsidR="0046491C" w:rsidRDefault="000B7C6E" w:rsidP="007A378A">
      <w:pPr>
        <w:pStyle w:val="Prrafodelista"/>
        <w:numPr>
          <w:ilvl w:val="0"/>
          <w:numId w:val="1"/>
        </w:numPr>
        <w:spacing w:before="240" w:after="0" w:line="360" w:lineRule="auto"/>
        <w:ind w:right="49"/>
        <w:jc w:val="both"/>
        <w:rPr>
          <w:rFonts w:ascii="Palatino Linotype" w:hAnsi="Palatino Linotype" w:cs="Arial"/>
          <w:sz w:val="24"/>
          <w:szCs w:val="24"/>
        </w:rPr>
      </w:pPr>
      <w:r>
        <w:rPr>
          <w:rFonts w:ascii="Palatino Linotype" w:hAnsi="Palatino Linotype" w:cs="Arial"/>
          <w:sz w:val="24"/>
          <w:szCs w:val="24"/>
        </w:rPr>
        <w:t>S</w:t>
      </w:r>
      <w:r w:rsidR="00C7250F" w:rsidRPr="00072966">
        <w:rPr>
          <w:rFonts w:ascii="Palatino Linotype" w:hAnsi="Palatino Linotype" w:cs="Arial"/>
          <w:sz w:val="24"/>
          <w:szCs w:val="24"/>
        </w:rPr>
        <w:t>in embargo, m</w:t>
      </w:r>
      <w:r w:rsidR="0046491C" w:rsidRPr="00072966">
        <w:rPr>
          <w:rFonts w:ascii="Palatino Linotype" w:hAnsi="Palatino Linotype" w:cs="Arial"/>
          <w:sz w:val="24"/>
          <w:szCs w:val="24"/>
        </w:rPr>
        <w:t xml:space="preserve">i </w:t>
      </w:r>
      <w:r w:rsidR="00D33AF9" w:rsidRPr="00072966">
        <w:rPr>
          <w:rFonts w:ascii="Palatino Linotype" w:hAnsi="Palatino Linotype" w:cs="Arial"/>
          <w:sz w:val="24"/>
          <w:szCs w:val="24"/>
        </w:rPr>
        <w:t>voto</w:t>
      </w:r>
      <w:r w:rsidR="0046491C" w:rsidRPr="00072966">
        <w:rPr>
          <w:rFonts w:ascii="Palatino Linotype" w:hAnsi="Palatino Linotype" w:cs="Arial"/>
          <w:sz w:val="24"/>
          <w:szCs w:val="24"/>
        </w:rPr>
        <w:t xml:space="preserve"> particular se deriva </w:t>
      </w:r>
      <w:r w:rsidR="007B476C">
        <w:rPr>
          <w:rFonts w:ascii="Palatino Linotype" w:hAnsi="Palatino Linotype" w:cs="Arial"/>
          <w:sz w:val="24"/>
          <w:szCs w:val="24"/>
        </w:rPr>
        <w:t xml:space="preserve">respecto a la reserva señalada por </w:t>
      </w:r>
      <w:r w:rsidR="002A5533">
        <w:rPr>
          <w:rFonts w:ascii="Palatino Linotype" w:hAnsi="Palatino Linotype" w:cs="Arial"/>
          <w:sz w:val="24"/>
          <w:szCs w:val="24"/>
        </w:rPr>
        <w:t xml:space="preserve">la Ponencia </w:t>
      </w:r>
      <w:proofErr w:type="spellStart"/>
      <w:r w:rsidR="002A5533">
        <w:rPr>
          <w:rFonts w:ascii="Palatino Linotype" w:hAnsi="Palatino Linotype" w:cs="Arial"/>
          <w:sz w:val="24"/>
          <w:szCs w:val="24"/>
        </w:rPr>
        <w:t>Resolutora</w:t>
      </w:r>
      <w:proofErr w:type="spellEnd"/>
      <w:r w:rsidR="002A5533">
        <w:rPr>
          <w:rFonts w:ascii="Palatino Linotype" w:hAnsi="Palatino Linotype" w:cs="Arial"/>
          <w:sz w:val="24"/>
          <w:szCs w:val="24"/>
        </w:rPr>
        <w:t xml:space="preserve"> y no así por el </w:t>
      </w:r>
      <w:r w:rsidR="00C55ECD">
        <w:rPr>
          <w:rFonts w:ascii="Palatino Linotype" w:hAnsi="Palatino Linotype" w:cs="Arial"/>
          <w:sz w:val="24"/>
          <w:szCs w:val="24"/>
        </w:rPr>
        <w:t>S</w:t>
      </w:r>
      <w:r w:rsidR="002A5533">
        <w:rPr>
          <w:rFonts w:ascii="Palatino Linotype" w:hAnsi="Palatino Linotype" w:cs="Arial"/>
          <w:sz w:val="24"/>
          <w:szCs w:val="24"/>
        </w:rPr>
        <w:t xml:space="preserve">ujeto </w:t>
      </w:r>
      <w:r w:rsidR="00C55ECD">
        <w:rPr>
          <w:rFonts w:ascii="Palatino Linotype" w:hAnsi="Palatino Linotype" w:cs="Arial"/>
          <w:sz w:val="24"/>
          <w:szCs w:val="24"/>
        </w:rPr>
        <w:t>Obligado</w:t>
      </w:r>
      <w:r w:rsidR="0046491C" w:rsidRPr="00072966">
        <w:rPr>
          <w:rFonts w:ascii="Palatino Linotype" w:hAnsi="Palatino Linotype" w:cs="Arial"/>
          <w:sz w:val="24"/>
          <w:szCs w:val="24"/>
        </w:rPr>
        <w:t>.</w:t>
      </w:r>
    </w:p>
    <w:p w:rsidR="008A3D2D" w:rsidRPr="00072966" w:rsidRDefault="008A3D2D" w:rsidP="00DF7B12">
      <w:pPr>
        <w:pStyle w:val="Prrafodelista"/>
        <w:spacing w:before="240" w:after="0" w:line="240" w:lineRule="auto"/>
        <w:ind w:left="360" w:right="49"/>
        <w:jc w:val="both"/>
        <w:rPr>
          <w:rFonts w:ascii="Palatino Linotype" w:hAnsi="Palatino Linotype" w:cs="Arial"/>
          <w:sz w:val="24"/>
          <w:szCs w:val="24"/>
        </w:rPr>
      </w:pPr>
    </w:p>
    <w:p w:rsidR="0046491C" w:rsidRPr="00072966" w:rsidRDefault="0046491C" w:rsidP="00E34F08">
      <w:pPr>
        <w:pStyle w:val="Prrafodelista"/>
        <w:numPr>
          <w:ilvl w:val="0"/>
          <w:numId w:val="1"/>
        </w:numPr>
        <w:spacing w:line="360" w:lineRule="auto"/>
        <w:jc w:val="both"/>
        <w:rPr>
          <w:rFonts w:ascii="Palatino Linotype" w:hAnsi="Palatino Linotype" w:cs="Arial"/>
          <w:sz w:val="24"/>
          <w:szCs w:val="24"/>
        </w:rPr>
      </w:pPr>
      <w:r w:rsidRPr="00072966">
        <w:rPr>
          <w:rFonts w:ascii="Palatino Linotype" w:hAnsi="Palatino Linotype" w:cs="Arial"/>
          <w:sz w:val="24"/>
          <w:szCs w:val="24"/>
        </w:rPr>
        <w:t xml:space="preserve">Por tal motivo y en términos de lo señalado por los artículos </w:t>
      </w:r>
      <w:r w:rsidR="00AA49F3" w:rsidRPr="00072966">
        <w:rPr>
          <w:rFonts w:ascii="Palatino Linotype" w:hAnsi="Palatino Linotype" w:cs="Arial"/>
          <w:sz w:val="24"/>
          <w:szCs w:val="24"/>
        </w:rPr>
        <w:t>14</w:t>
      </w:r>
      <w:r w:rsidRPr="00072966">
        <w:rPr>
          <w:rFonts w:ascii="Palatino Linotype" w:hAnsi="Palatino Linotype" w:cs="Arial"/>
          <w:sz w:val="24"/>
          <w:szCs w:val="24"/>
        </w:rPr>
        <w:t xml:space="preserve"> fracción </w:t>
      </w:r>
      <w:r w:rsidR="00AA49F3" w:rsidRPr="00072966">
        <w:rPr>
          <w:rFonts w:ascii="Palatino Linotype" w:hAnsi="Palatino Linotype" w:cs="Arial"/>
          <w:sz w:val="24"/>
          <w:szCs w:val="24"/>
        </w:rPr>
        <w:t>XI</w:t>
      </w:r>
      <w:r w:rsidRPr="00072966">
        <w:rPr>
          <w:rFonts w:ascii="Palatino Linotype" w:hAnsi="Palatino Linotype" w:cs="Arial"/>
          <w:sz w:val="24"/>
          <w:szCs w:val="24"/>
        </w:rPr>
        <w:t xml:space="preserve"> del Reglamento Interior del Instituto de Transparencia y Acceso a la Información Pública del Estado de México y Municipios formulo el presente voto particular. </w:t>
      </w:r>
    </w:p>
    <w:p w:rsidR="0046491C" w:rsidRPr="00072966" w:rsidRDefault="0046491C" w:rsidP="00E34F08">
      <w:pPr>
        <w:pStyle w:val="Ttulo1"/>
        <w:numPr>
          <w:ilvl w:val="0"/>
          <w:numId w:val="12"/>
        </w:numPr>
        <w:spacing w:line="360" w:lineRule="auto"/>
        <w:rPr>
          <w:rFonts w:ascii="Palatino Linotype" w:hAnsi="Palatino Linotype"/>
          <w:b/>
          <w:color w:val="auto"/>
          <w:sz w:val="24"/>
          <w:szCs w:val="24"/>
        </w:rPr>
      </w:pPr>
      <w:bookmarkStart w:id="1" w:name="_Toc532811980"/>
      <w:r w:rsidRPr="00072966">
        <w:rPr>
          <w:rFonts w:ascii="Palatino Linotype" w:hAnsi="Palatino Linotype"/>
          <w:b/>
          <w:color w:val="auto"/>
          <w:sz w:val="24"/>
          <w:szCs w:val="24"/>
        </w:rPr>
        <w:t>De los requerimientos planteados en el recurso de revisión.</w:t>
      </w:r>
      <w:bookmarkEnd w:id="1"/>
    </w:p>
    <w:p w:rsidR="0046491C" w:rsidRPr="008D57F6" w:rsidRDefault="0046491C" w:rsidP="008D57F6">
      <w:pPr>
        <w:pStyle w:val="Prrafodelista"/>
        <w:spacing w:line="240" w:lineRule="auto"/>
        <w:ind w:left="1080"/>
        <w:jc w:val="both"/>
        <w:rPr>
          <w:rFonts w:ascii="Palatino Linotype" w:hAnsi="Palatino Linotype" w:cs="Arial"/>
          <w:sz w:val="14"/>
          <w:szCs w:val="24"/>
        </w:rPr>
      </w:pPr>
    </w:p>
    <w:p w:rsidR="00DF6665" w:rsidRPr="00DF6665" w:rsidRDefault="00D11CB8" w:rsidP="00AE4797">
      <w:pPr>
        <w:pStyle w:val="Prrafodelista"/>
        <w:numPr>
          <w:ilvl w:val="0"/>
          <w:numId w:val="1"/>
        </w:numPr>
        <w:spacing w:after="0" w:line="360" w:lineRule="auto"/>
        <w:jc w:val="both"/>
        <w:rPr>
          <w:rFonts w:ascii="Palatino Linotype" w:eastAsia="Times New Roman" w:hAnsi="Palatino Linotype" w:cs="Times New Roman"/>
          <w:i/>
          <w:sz w:val="24"/>
          <w:szCs w:val="24"/>
          <w:lang w:val="es-ES_tradnl" w:eastAsia="es-ES"/>
        </w:rPr>
      </w:pPr>
      <w:r>
        <w:rPr>
          <w:rFonts w:ascii="Palatino Linotype" w:hAnsi="Palatino Linotype" w:cs="Arial"/>
          <w:sz w:val="24"/>
          <w:szCs w:val="24"/>
        </w:rPr>
        <w:t>El</w:t>
      </w:r>
      <w:r w:rsidR="008E1DCC" w:rsidRPr="00072966">
        <w:rPr>
          <w:rFonts w:ascii="Palatino Linotype" w:hAnsi="Palatino Linotype" w:cs="Arial"/>
          <w:sz w:val="24"/>
          <w:szCs w:val="24"/>
        </w:rPr>
        <w:t xml:space="preserve"> particular</w:t>
      </w:r>
      <w:r w:rsidR="00DF6665">
        <w:rPr>
          <w:rFonts w:ascii="Palatino Linotype" w:hAnsi="Palatino Linotype" w:cs="Arial"/>
          <w:sz w:val="24"/>
          <w:szCs w:val="24"/>
        </w:rPr>
        <w:t xml:space="preserve"> solicitó que el Sujeto Obligado le remitiera la siguiente información: </w:t>
      </w:r>
    </w:p>
    <w:p w:rsidR="008A3D2D" w:rsidRDefault="005D79D3" w:rsidP="00FC2009">
      <w:pPr>
        <w:pStyle w:val="Prrafodelista"/>
        <w:autoSpaceDE w:val="0"/>
        <w:autoSpaceDN w:val="0"/>
        <w:adjustRightInd w:val="0"/>
        <w:spacing w:line="360" w:lineRule="auto"/>
        <w:ind w:left="993" w:right="758"/>
        <w:contextualSpacing w:val="0"/>
        <w:jc w:val="both"/>
        <w:rPr>
          <w:rFonts w:ascii="Palatino Linotype" w:hAnsi="Palatino Linotype"/>
          <w:i/>
          <w:color w:val="000000"/>
        </w:rPr>
      </w:pPr>
      <w:r w:rsidRPr="005D79D3">
        <w:rPr>
          <w:rFonts w:ascii="Palatino Linotype" w:hAnsi="Palatino Linotype"/>
          <w:i/>
          <w:color w:val="000000"/>
        </w:rPr>
        <w:t>“</w:t>
      </w:r>
      <w:r w:rsidR="00C55ECD" w:rsidRPr="00C55ECD">
        <w:rPr>
          <w:rFonts w:ascii="Palatino Linotype" w:hAnsi="Palatino Linotype"/>
          <w:i/>
          <w:color w:val="000000"/>
        </w:rPr>
        <w:t xml:space="preserve">EL 15 DE AGOSTO DEL AÑO EN CURSO EL C. GOBERNADOR DEL ESTADO DE MÉXICO INAUGURO “el Primer Congreso Internacional de Prevención Social de la Violencia y Delincuencia” e informo que “SE HAN DIAGNOSTICADO “140 colonias de 28 municipios mexiquenses, en los cuales </w:t>
      </w:r>
      <w:bookmarkStart w:id="2" w:name="_GoBack"/>
      <w:bookmarkEnd w:id="2"/>
      <w:r w:rsidR="00C55ECD" w:rsidRPr="00C55ECD">
        <w:rPr>
          <w:rFonts w:ascii="Palatino Linotype" w:hAnsi="Palatino Linotype"/>
          <w:i/>
          <w:color w:val="000000"/>
        </w:rPr>
        <w:lastRenderedPageBreak/>
        <w:t xml:space="preserve">se concentran más del 70 por ciento de los delitos que se cometen en la entidad”, siendo el municipio de Tultitlan uno de los 28 municipios problema, POR LO QUE DE CONFORMIDAD CON el articulo 12 y el TITULO QUINTO, artículo 92 fracción XXXII, entre otras de la Ley de Transparencia y Acceso a la Información Pública del Estado de México y Municipios y los LINEAMIENTOS GENERALES EN MATERIA DE CLASIFICACIÓN Y DESCLASIFICACIÓN DE LA INFORMACIÓN, ASÍ COMO PARA LA ELABORACIÓN DE VERSIONES PÚBLICAS; Capítulos VI y IX, SE ME ENVIE VIA SAIMEX LA INFORMACIÓN PÚBLICA SIGUIENTE; 1.- EL listado de colonias detectadas donde se concentra el mayor número de delitos en el municipio de Tultitlan, </w:t>
      </w:r>
      <w:proofErr w:type="spellStart"/>
      <w:r w:rsidR="00C55ECD" w:rsidRPr="00C55ECD">
        <w:rPr>
          <w:rFonts w:ascii="Palatino Linotype" w:hAnsi="Palatino Linotype"/>
          <w:i/>
          <w:color w:val="000000"/>
        </w:rPr>
        <w:t>Mex</w:t>
      </w:r>
      <w:proofErr w:type="spellEnd"/>
      <w:r w:rsidR="00C55ECD" w:rsidRPr="00C55ECD">
        <w:rPr>
          <w:rFonts w:ascii="Palatino Linotype" w:hAnsi="Palatino Linotype"/>
          <w:i/>
          <w:color w:val="000000"/>
        </w:rPr>
        <w:t xml:space="preserve">. 2.- EL DIAGNOSTICO O LOS DIAGNÓSTICOS REALIZADOS EN LAS colonias detectadas donde se concentra el mayor número de delitos en el municipio de Tultitlan, </w:t>
      </w:r>
      <w:proofErr w:type="spellStart"/>
      <w:r w:rsidR="00C55ECD" w:rsidRPr="00C55ECD">
        <w:rPr>
          <w:rFonts w:ascii="Palatino Linotype" w:hAnsi="Palatino Linotype"/>
          <w:i/>
          <w:color w:val="000000"/>
        </w:rPr>
        <w:t>Mex</w:t>
      </w:r>
      <w:proofErr w:type="spellEnd"/>
      <w:r w:rsidR="00C55ECD" w:rsidRPr="00C55ECD">
        <w:rPr>
          <w:rFonts w:ascii="Palatino Linotype" w:hAnsi="Palatino Linotype"/>
          <w:i/>
          <w:color w:val="000000"/>
        </w:rPr>
        <w:t xml:space="preserve">. 3.- LA ESTRATEGIA O ESTRATEGIAS QUE SE LLEVARAN O SE LLEVAN A CABO EN ESTAS colonias de Tultitlan en concordancia con el Gobierno del Estado.” </w:t>
      </w:r>
      <w:r w:rsidR="00C55ECD">
        <w:rPr>
          <w:rFonts w:ascii="Palatino Linotype" w:hAnsi="Palatino Linotype"/>
          <w:i/>
          <w:color w:val="000000"/>
        </w:rPr>
        <w:t>(</w:t>
      </w:r>
      <w:r w:rsidR="00C55ECD" w:rsidRPr="00A96F87">
        <w:rPr>
          <w:rFonts w:ascii="Palatino Linotype" w:hAnsi="Palatino Linotype"/>
          <w:i/>
          <w:color w:val="000000"/>
        </w:rPr>
        <w:t>Sic</w:t>
      </w:r>
      <w:r w:rsidR="00A96F87" w:rsidRPr="00A96F87">
        <w:rPr>
          <w:rFonts w:ascii="Palatino Linotype" w:hAnsi="Palatino Linotype"/>
          <w:i/>
          <w:color w:val="000000"/>
        </w:rPr>
        <w:t>)</w:t>
      </w:r>
    </w:p>
    <w:p w:rsidR="00FC2009" w:rsidRDefault="00FC2009" w:rsidP="00FC2009">
      <w:pPr>
        <w:pStyle w:val="Prrafodelista"/>
        <w:spacing w:after="0" w:line="240" w:lineRule="auto"/>
        <w:ind w:left="360"/>
        <w:jc w:val="both"/>
        <w:rPr>
          <w:rFonts w:ascii="Palatino Linotype" w:eastAsia="Times New Roman" w:hAnsi="Palatino Linotype" w:cs="Times New Roman"/>
          <w:i/>
          <w:sz w:val="18"/>
          <w:szCs w:val="24"/>
          <w:lang w:val="es-ES_tradnl" w:eastAsia="es-ES"/>
        </w:rPr>
      </w:pPr>
    </w:p>
    <w:p w:rsidR="00C55ECD" w:rsidRPr="00C55ECD" w:rsidRDefault="00C55ECD" w:rsidP="00C55ECD">
      <w:pPr>
        <w:pStyle w:val="Prrafodelista"/>
        <w:numPr>
          <w:ilvl w:val="0"/>
          <w:numId w:val="1"/>
        </w:numPr>
        <w:spacing w:after="0" w:line="360" w:lineRule="auto"/>
        <w:ind w:right="49"/>
        <w:jc w:val="both"/>
        <w:rPr>
          <w:rFonts w:ascii="Palatino Linotype" w:eastAsia="Times New Roman" w:hAnsi="Palatino Linotype" w:cs="Times New Roman"/>
          <w:i/>
          <w:sz w:val="18"/>
          <w:szCs w:val="24"/>
          <w:lang w:val="es-ES_tradnl" w:eastAsia="es-ES"/>
        </w:rPr>
      </w:pPr>
      <w:r w:rsidRPr="00BE6935">
        <w:rPr>
          <w:rFonts w:ascii="Palatino Linotype" w:hAnsi="Palatino Linotype" w:cs="Arial"/>
          <w:sz w:val="24"/>
          <w:szCs w:val="24"/>
        </w:rPr>
        <w:t xml:space="preserve">El </w:t>
      </w:r>
      <w:r w:rsidRPr="00C55ECD">
        <w:rPr>
          <w:rFonts w:ascii="Palatino Linotype" w:eastAsia="Times New Roman" w:hAnsi="Palatino Linotype" w:cs="Times New Roman"/>
          <w:color w:val="000000"/>
          <w:sz w:val="24"/>
          <w:szCs w:val="24"/>
          <w:lang w:val="es-ES" w:eastAsia="es-ES"/>
        </w:rPr>
        <w:t>Sujeto</w:t>
      </w:r>
      <w:r w:rsidRPr="00BE6935">
        <w:rPr>
          <w:rFonts w:ascii="Palatino Linotype" w:hAnsi="Palatino Linotype" w:cs="Arial"/>
          <w:sz w:val="24"/>
          <w:szCs w:val="24"/>
        </w:rPr>
        <w:t xml:space="preserve"> Obligado fue omiso en dar contestación a la</w:t>
      </w:r>
      <w:r>
        <w:rPr>
          <w:rFonts w:ascii="Palatino Linotype" w:hAnsi="Palatino Linotype" w:cs="Arial"/>
          <w:sz w:val="24"/>
          <w:szCs w:val="24"/>
        </w:rPr>
        <w:t xml:space="preserve"> solicitud</w:t>
      </w:r>
      <w:r w:rsidRPr="00BE6935">
        <w:rPr>
          <w:rFonts w:ascii="Palatino Linotype" w:hAnsi="Palatino Linotype" w:cs="Arial"/>
          <w:sz w:val="24"/>
          <w:szCs w:val="24"/>
        </w:rPr>
        <w:t xml:space="preserve"> de información señalada en el párrafo anterior</w:t>
      </w:r>
      <w:r>
        <w:rPr>
          <w:rFonts w:ascii="Palatino Linotype" w:hAnsi="Palatino Linotype" w:cs="Arial"/>
          <w:sz w:val="24"/>
          <w:szCs w:val="24"/>
        </w:rPr>
        <w:t>.</w:t>
      </w:r>
    </w:p>
    <w:p w:rsidR="00C55ECD" w:rsidRPr="00FC2009" w:rsidRDefault="00C55ECD" w:rsidP="00C55ECD">
      <w:pPr>
        <w:pStyle w:val="Prrafodelista"/>
        <w:spacing w:before="240" w:after="0" w:line="240" w:lineRule="auto"/>
        <w:ind w:left="360" w:right="49"/>
        <w:jc w:val="both"/>
        <w:rPr>
          <w:rFonts w:ascii="Palatino Linotype" w:eastAsia="Times New Roman" w:hAnsi="Palatino Linotype" w:cs="Times New Roman"/>
          <w:i/>
          <w:sz w:val="18"/>
          <w:szCs w:val="24"/>
          <w:lang w:val="es-ES_tradnl" w:eastAsia="es-ES"/>
        </w:rPr>
      </w:pPr>
    </w:p>
    <w:p w:rsidR="00FC2009" w:rsidRPr="00FC2009" w:rsidRDefault="0046491C" w:rsidP="005527D5">
      <w:pPr>
        <w:pStyle w:val="Prrafodelista"/>
        <w:numPr>
          <w:ilvl w:val="0"/>
          <w:numId w:val="1"/>
        </w:numPr>
        <w:spacing w:before="240" w:after="0" w:line="360" w:lineRule="auto"/>
        <w:ind w:right="49"/>
        <w:jc w:val="both"/>
        <w:rPr>
          <w:rFonts w:ascii="Palatino Linotype" w:hAnsi="Palatino Linotype" w:cs="Arial"/>
          <w:i/>
          <w:sz w:val="24"/>
          <w:szCs w:val="24"/>
          <w:lang w:val="es-ES"/>
        </w:rPr>
      </w:pPr>
      <w:r w:rsidRPr="0095525C">
        <w:rPr>
          <w:rFonts w:ascii="Palatino Linotype" w:hAnsi="Palatino Linotype" w:cs="Arial"/>
          <w:sz w:val="24"/>
          <w:szCs w:val="24"/>
        </w:rPr>
        <w:t xml:space="preserve">En ese </w:t>
      </w:r>
      <w:r w:rsidRPr="0095525C">
        <w:rPr>
          <w:rFonts w:ascii="Palatino Linotype" w:eastAsia="Times New Roman" w:hAnsi="Palatino Linotype" w:cs="Times New Roman"/>
          <w:color w:val="000000"/>
          <w:sz w:val="24"/>
          <w:szCs w:val="24"/>
          <w:lang w:val="es-ES" w:eastAsia="es-ES"/>
        </w:rPr>
        <w:t>sentido</w:t>
      </w:r>
      <w:r w:rsidRPr="0095525C">
        <w:rPr>
          <w:rFonts w:ascii="Palatino Linotype" w:hAnsi="Palatino Linotype" w:cs="Arial"/>
          <w:sz w:val="24"/>
          <w:szCs w:val="24"/>
        </w:rPr>
        <w:t xml:space="preserve">, </w:t>
      </w:r>
      <w:r w:rsidR="00FC2009">
        <w:rPr>
          <w:rFonts w:ascii="Palatino Linotype" w:hAnsi="Palatino Linotype" w:cs="Arial"/>
          <w:sz w:val="24"/>
          <w:szCs w:val="24"/>
        </w:rPr>
        <w:t>el</w:t>
      </w:r>
      <w:r w:rsidR="00AE4797" w:rsidRPr="0095525C">
        <w:rPr>
          <w:rFonts w:ascii="Palatino Linotype" w:hAnsi="Palatino Linotype" w:cs="Arial"/>
          <w:sz w:val="24"/>
          <w:szCs w:val="24"/>
        </w:rPr>
        <w:t xml:space="preserve"> particular </w:t>
      </w:r>
      <w:r w:rsidR="00FC03CA">
        <w:rPr>
          <w:rFonts w:ascii="Palatino Linotype" w:hAnsi="Palatino Linotype" w:cs="Arial"/>
          <w:sz w:val="24"/>
          <w:szCs w:val="24"/>
        </w:rPr>
        <w:t xml:space="preserve">en su recurso de revisión </w:t>
      </w:r>
      <w:r w:rsidR="00AE4797" w:rsidRPr="0095525C">
        <w:rPr>
          <w:rFonts w:ascii="Palatino Linotype" w:hAnsi="Palatino Linotype" w:cs="Arial"/>
          <w:sz w:val="24"/>
          <w:szCs w:val="24"/>
        </w:rPr>
        <w:t>se</w:t>
      </w:r>
      <w:r w:rsidR="0095525C" w:rsidRPr="0095525C">
        <w:rPr>
          <w:rFonts w:ascii="Palatino Linotype" w:hAnsi="Palatino Linotype" w:cs="Arial"/>
          <w:sz w:val="24"/>
          <w:szCs w:val="24"/>
        </w:rPr>
        <w:t>ñal</w:t>
      </w:r>
      <w:r w:rsidR="00DC63EE">
        <w:rPr>
          <w:rFonts w:ascii="Palatino Linotype" w:hAnsi="Palatino Linotype" w:cs="Arial"/>
          <w:sz w:val="24"/>
          <w:szCs w:val="24"/>
        </w:rPr>
        <w:t>ó</w:t>
      </w:r>
      <w:r w:rsidR="0095525C" w:rsidRPr="0095525C">
        <w:rPr>
          <w:rFonts w:ascii="Palatino Linotype" w:hAnsi="Palatino Linotype" w:cs="Arial"/>
          <w:sz w:val="24"/>
          <w:szCs w:val="24"/>
        </w:rPr>
        <w:t xml:space="preserve"> </w:t>
      </w:r>
      <w:r w:rsidR="00FC03CA">
        <w:rPr>
          <w:rFonts w:ascii="Palatino Linotype" w:hAnsi="Palatino Linotype" w:cs="Arial"/>
          <w:sz w:val="24"/>
          <w:szCs w:val="24"/>
        </w:rPr>
        <w:t xml:space="preserve">lo siguiente: </w:t>
      </w:r>
    </w:p>
    <w:p w:rsidR="00FC2009" w:rsidRPr="00D04234" w:rsidRDefault="00FC2009" w:rsidP="00FC03CA">
      <w:pPr>
        <w:spacing w:before="240"/>
        <w:ind w:left="709"/>
        <w:jc w:val="both"/>
        <w:rPr>
          <w:rFonts w:ascii="Palatino Linotype" w:hAnsi="Palatino Linotype" w:cs="Arial"/>
          <w:b/>
          <w:sz w:val="24"/>
          <w:szCs w:val="24"/>
        </w:rPr>
      </w:pPr>
      <w:r w:rsidRPr="00D04234">
        <w:rPr>
          <w:rFonts w:ascii="Palatino Linotype" w:hAnsi="Palatino Linotype" w:cs="Arial"/>
          <w:b/>
          <w:sz w:val="24"/>
          <w:szCs w:val="24"/>
        </w:rPr>
        <w:t>Acto Impugnado:</w:t>
      </w:r>
    </w:p>
    <w:p w:rsidR="00FC2009" w:rsidRPr="00D04234" w:rsidRDefault="002648E8" w:rsidP="00FC03CA">
      <w:pPr>
        <w:spacing w:line="240" w:lineRule="auto"/>
        <w:ind w:left="1134" w:right="850"/>
        <w:jc w:val="both"/>
        <w:rPr>
          <w:rFonts w:ascii="Palatino Linotype" w:hAnsi="Palatino Linotype" w:cs="Arial"/>
          <w:i/>
        </w:rPr>
      </w:pPr>
      <w:r w:rsidRPr="002648E8">
        <w:rPr>
          <w:rFonts w:ascii="Palatino Linotype" w:hAnsi="Palatino Linotype" w:cs="Arial"/>
          <w:i/>
        </w:rPr>
        <w:t>“</w:t>
      </w:r>
      <w:r w:rsidR="00C55ECD" w:rsidRPr="00C55ECD">
        <w:rPr>
          <w:rFonts w:ascii="Palatino Linotype" w:hAnsi="Palatino Linotype" w:cs="Arial"/>
          <w:i/>
        </w:rPr>
        <w:t>LA FALTA DE RESPUESTA A MI SOLICITUD DE INFORMACION</w:t>
      </w:r>
      <w:proofErr w:type="gramStart"/>
      <w:r>
        <w:rPr>
          <w:rFonts w:ascii="Palatino Linotype" w:hAnsi="Palatino Linotype" w:cs="Arial"/>
          <w:i/>
        </w:rPr>
        <w:t>”</w:t>
      </w:r>
      <w:r w:rsidR="00FC2009" w:rsidRPr="00D04234">
        <w:rPr>
          <w:rFonts w:ascii="Palatino Linotype" w:hAnsi="Palatino Linotype" w:cs="Arial"/>
          <w:i/>
        </w:rPr>
        <w:t>(</w:t>
      </w:r>
      <w:proofErr w:type="gramEnd"/>
      <w:r w:rsidR="00FC2009" w:rsidRPr="00D04234">
        <w:rPr>
          <w:rFonts w:ascii="Palatino Linotype" w:hAnsi="Palatino Linotype" w:cs="Arial"/>
          <w:i/>
        </w:rPr>
        <w:t>Sic)</w:t>
      </w:r>
    </w:p>
    <w:p w:rsidR="00FC2009" w:rsidRPr="00BE6D77" w:rsidRDefault="00FC2009" w:rsidP="00FC03CA">
      <w:pPr>
        <w:spacing w:before="240"/>
        <w:ind w:left="709"/>
        <w:jc w:val="both"/>
        <w:rPr>
          <w:rFonts w:ascii="Palatino Linotype" w:hAnsi="Palatino Linotype" w:cs="Arial"/>
          <w:sz w:val="24"/>
          <w:szCs w:val="24"/>
        </w:rPr>
      </w:pPr>
      <w:r w:rsidRPr="00BE6D77">
        <w:rPr>
          <w:rFonts w:ascii="Palatino Linotype" w:hAnsi="Palatino Linotype" w:cs="Arial"/>
          <w:b/>
          <w:sz w:val="24"/>
          <w:szCs w:val="24"/>
        </w:rPr>
        <w:lastRenderedPageBreak/>
        <w:t>Razones o Motivos de Inconformidad</w:t>
      </w:r>
      <w:r w:rsidRPr="00BE6D77">
        <w:rPr>
          <w:rFonts w:ascii="Palatino Linotype" w:hAnsi="Palatino Linotype" w:cs="Arial"/>
          <w:sz w:val="24"/>
          <w:szCs w:val="24"/>
        </w:rPr>
        <w:t xml:space="preserve">: </w:t>
      </w:r>
    </w:p>
    <w:p w:rsidR="00FC2009" w:rsidRDefault="00FC2009" w:rsidP="00FC03CA">
      <w:pPr>
        <w:spacing w:line="240" w:lineRule="auto"/>
        <w:ind w:left="1134" w:right="850"/>
        <w:jc w:val="both"/>
        <w:rPr>
          <w:rFonts w:ascii="Palatino Linotype" w:hAnsi="Palatino Linotype" w:cs="Arial"/>
          <w:i/>
        </w:rPr>
      </w:pPr>
      <w:r w:rsidRPr="004657BE">
        <w:rPr>
          <w:rFonts w:ascii="Palatino Linotype" w:hAnsi="Palatino Linotype" w:cs="Arial"/>
          <w:i/>
        </w:rPr>
        <w:t>“</w:t>
      </w:r>
      <w:r w:rsidR="00C55ECD" w:rsidRPr="00C55ECD">
        <w:rPr>
          <w:rFonts w:ascii="Palatino Linotype" w:hAnsi="Palatino Linotype" w:cs="Arial"/>
          <w:i/>
        </w:rPr>
        <w:t xml:space="preserve">Han transcurrido </w:t>
      </w:r>
      <w:proofErr w:type="spellStart"/>
      <w:r w:rsidR="00C55ECD" w:rsidRPr="00C55ECD">
        <w:rPr>
          <w:rFonts w:ascii="Palatino Linotype" w:hAnsi="Palatino Linotype" w:cs="Arial"/>
          <w:i/>
        </w:rPr>
        <w:t>mas</w:t>
      </w:r>
      <w:proofErr w:type="spellEnd"/>
      <w:r w:rsidR="00C55ECD" w:rsidRPr="00C55ECD">
        <w:rPr>
          <w:rFonts w:ascii="Palatino Linotype" w:hAnsi="Palatino Linotype" w:cs="Arial"/>
          <w:i/>
        </w:rPr>
        <w:t xml:space="preserve"> de 15 días hábiles sin que el sujeto obligado de contestación a mi solicitud de información, violentándose en mi perjuicio el DERECHO HUMANO A LA INFORMACIÓN consagrado en </w:t>
      </w:r>
      <w:proofErr w:type="spellStart"/>
      <w:r w:rsidR="00C55ECD" w:rsidRPr="00C55ECD">
        <w:rPr>
          <w:rFonts w:ascii="Palatino Linotype" w:hAnsi="Palatino Linotype" w:cs="Arial"/>
          <w:i/>
        </w:rPr>
        <w:t>articulo</w:t>
      </w:r>
      <w:proofErr w:type="spellEnd"/>
      <w:r w:rsidR="00C55ECD" w:rsidRPr="00C55ECD">
        <w:rPr>
          <w:rFonts w:ascii="Palatino Linotype" w:hAnsi="Palatino Linotype" w:cs="Arial"/>
          <w:i/>
        </w:rPr>
        <w:t xml:space="preserve"> 6 de la Constitución Política de los Estados Unidos Mexicanos</w:t>
      </w:r>
      <w:r w:rsidRPr="00217292">
        <w:rPr>
          <w:rFonts w:ascii="Palatino Linotype" w:hAnsi="Palatino Linotype" w:cs="Arial"/>
          <w:i/>
        </w:rPr>
        <w:t>.</w:t>
      </w:r>
      <w:r w:rsidRPr="004657BE">
        <w:rPr>
          <w:rFonts w:ascii="Palatino Linotype" w:hAnsi="Palatino Linotype" w:cs="Arial"/>
          <w:i/>
        </w:rPr>
        <w:t>” (Sic)</w:t>
      </w:r>
    </w:p>
    <w:p w:rsidR="009E165A" w:rsidRPr="009E165A" w:rsidRDefault="009E165A" w:rsidP="009E165A">
      <w:pPr>
        <w:pStyle w:val="Prrafodelista"/>
        <w:numPr>
          <w:ilvl w:val="0"/>
          <w:numId w:val="1"/>
        </w:numPr>
        <w:spacing w:before="240" w:after="0" w:line="360" w:lineRule="auto"/>
        <w:ind w:right="49"/>
        <w:jc w:val="both"/>
        <w:rPr>
          <w:rFonts w:ascii="Palatino Linotype" w:hAnsi="Palatino Linotype" w:cs="Arial"/>
          <w:i/>
          <w:sz w:val="24"/>
          <w:szCs w:val="24"/>
          <w:lang w:val="es-ES"/>
        </w:rPr>
      </w:pPr>
      <w:r w:rsidRPr="009E165A">
        <w:rPr>
          <w:rFonts w:ascii="Palatino Linotype" w:hAnsi="Palatino Linotype" w:cs="Arial"/>
          <w:sz w:val="24"/>
          <w:szCs w:val="24"/>
        </w:rPr>
        <w:t>En la etapa de instrucción, el Sujeto Obligado solicitó que el Recurrente reconsider</w:t>
      </w:r>
      <w:r>
        <w:rPr>
          <w:rFonts w:ascii="Palatino Linotype" w:hAnsi="Palatino Linotype" w:cs="Arial"/>
          <w:sz w:val="24"/>
          <w:szCs w:val="24"/>
        </w:rPr>
        <w:t>ara</w:t>
      </w:r>
      <w:r w:rsidRPr="009E165A">
        <w:rPr>
          <w:rFonts w:ascii="Palatino Linotype" w:hAnsi="Palatino Linotype" w:cs="Arial"/>
          <w:sz w:val="24"/>
          <w:szCs w:val="24"/>
        </w:rPr>
        <w:t xml:space="preserve"> la información solicitada, toda vez que mediante datos proporcionados por la Secretaría de Seguridad y de la Fiscalía General de Justicia ambos del Estado de México, resulta ser que en el último trimestre el Municipio de Tultitlán se encuentra fuera de la lista de los municipios catalogados </w:t>
      </w:r>
      <w:r>
        <w:rPr>
          <w:rFonts w:ascii="Palatino Linotype" w:hAnsi="Palatino Linotype" w:cs="Arial"/>
          <w:sz w:val="24"/>
          <w:szCs w:val="24"/>
        </w:rPr>
        <w:t xml:space="preserve">como problemáticos; sin embargo, </w:t>
      </w:r>
      <w:r w:rsidRPr="009E165A">
        <w:rPr>
          <w:rFonts w:ascii="Palatino Linotype" w:hAnsi="Palatino Linotype" w:cs="Arial"/>
          <w:sz w:val="24"/>
          <w:szCs w:val="24"/>
        </w:rPr>
        <w:t xml:space="preserve">el Sujeto Obligado no expuso ningún tipo de información para sustentar su dicho. </w:t>
      </w:r>
    </w:p>
    <w:p w:rsidR="009E165A" w:rsidRPr="009E165A" w:rsidRDefault="009E165A" w:rsidP="009E165A">
      <w:pPr>
        <w:pStyle w:val="Prrafodelista"/>
        <w:spacing w:before="240" w:after="0" w:line="240" w:lineRule="auto"/>
        <w:ind w:left="360" w:right="49"/>
        <w:jc w:val="both"/>
        <w:rPr>
          <w:rFonts w:ascii="Palatino Linotype" w:hAnsi="Palatino Linotype" w:cs="Arial"/>
          <w:i/>
          <w:sz w:val="24"/>
          <w:szCs w:val="24"/>
          <w:lang w:val="es-ES"/>
        </w:rPr>
      </w:pPr>
    </w:p>
    <w:p w:rsidR="009E165A" w:rsidRPr="009E165A" w:rsidRDefault="009E165A" w:rsidP="009E165A">
      <w:pPr>
        <w:pStyle w:val="Prrafodelista"/>
        <w:numPr>
          <w:ilvl w:val="0"/>
          <w:numId w:val="1"/>
        </w:numPr>
        <w:spacing w:before="240" w:after="0" w:line="360" w:lineRule="auto"/>
        <w:ind w:right="49"/>
        <w:jc w:val="both"/>
        <w:rPr>
          <w:rFonts w:ascii="Palatino Linotype" w:hAnsi="Palatino Linotype" w:cs="Arial"/>
          <w:i/>
          <w:sz w:val="24"/>
          <w:szCs w:val="24"/>
          <w:lang w:val="es-ES"/>
        </w:rPr>
      </w:pPr>
      <w:r>
        <w:rPr>
          <w:rFonts w:ascii="Palatino Linotype" w:hAnsi="Palatino Linotype" w:cs="Arial"/>
          <w:sz w:val="24"/>
          <w:szCs w:val="24"/>
        </w:rPr>
        <w:t>Posteriormente el Recurrente señaló que e</w:t>
      </w:r>
      <w:r w:rsidRPr="009E165A">
        <w:rPr>
          <w:rFonts w:ascii="Palatino Linotype" w:hAnsi="Palatino Linotype" w:cs="Arial"/>
          <w:sz w:val="24"/>
          <w:szCs w:val="24"/>
        </w:rPr>
        <w:t>l Comisario de Seguridad no se e</w:t>
      </w:r>
      <w:r>
        <w:rPr>
          <w:rFonts w:ascii="Palatino Linotype" w:hAnsi="Palatino Linotype" w:cs="Arial"/>
          <w:sz w:val="24"/>
          <w:szCs w:val="24"/>
        </w:rPr>
        <w:t>ncuentra bien informado y,</w:t>
      </w:r>
      <w:r w:rsidRPr="009E165A">
        <w:rPr>
          <w:rFonts w:ascii="Palatino Linotype" w:hAnsi="Palatino Linotype" w:cs="Arial"/>
          <w:sz w:val="24"/>
          <w:szCs w:val="24"/>
        </w:rPr>
        <w:t xml:space="preserve"> adjunto documento de la Secretaria de Seguridad del Estado de México donde en el listado de municipios se encuentra Tultitlan</w:t>
      </w:r>
      <w:r>
        <w:rPr>
          <w:rFonts w:ascii="Palatino Linotype" w:hAnsi="Palatino Linotype" w:cs="Arial"/>
          <w:sz w:val="24"/>
          <w:szCs w:val="24"/>
        </w:rPr>
        <w:t>.</w:t>
      </w:r>
    </w:p>
    <w:p w:rsidR="00C55ECD" w:rsidRPr="004657BE" w:rsidRDefault="00C55ECD" w:rsidP="00FC03CA">
      <w:pPr>
        <w:spacing w:line="240" w:lineRule="auto"/>
        <w:ind w:left="1134" w:right="850"/>
        <w:jc w:val="both"/>
        <w:rPr>
          <w:rFonts w:ascii="Palatino Linotype" w:hAnsi="Palatino Linotype" w:cs="Arial"/>
          <w:i/>
        </w:rPr>
      </w:pPr>
    </w:p>
    <w:p w:rsidR="00440A94" w:rsidRPr="00ED1DD4" w:rsidRDefault="00440A94" w:rsidP="00440A94">
      <w:pPr>
        <w:pStyle w:val="Ttulo1"/>
        <w:numPr>
          <w:ilvl w:val="0"/>
          <w:numId w:val="12"/>
        </w:numPr>
        <w:spacing w:line="360" w:lineRule="auto"/>
        <w:rPr>
          <w:rFonts w:ascii="Palatino Linotype" w:hAnsi="Palatino Linotype" w:cs="Arial"/>
          <w:b/>
          <w:color w:val="auto"/>
          <w:sz w:val="24"/>
          <w:lang w:val="es-ES_tradnl"/>
        </w:rPr>
      </w:pPr>
      <w:bookmarkStart w:id="3" w:name="_Toc485899337"/>
      <w:bookmarkStart w:id="4" w:name="_Toc522281444"/>
      <w:bookmarkStart w:id="5" w:name="_Toc532811981"/>
      <w:r w:rsidRPr="00ED1DD4">
        <w:rPr>
          <w:rFonts w:ascii="Palatino Linotype" w:hAnsi="Palatino Linotype"/>
          <w:b/>
          <w:color w:val="auto"/>
          <w:sz w:val="24"/>
          <w:szCs w:val="24"/>
        </w:rPr>
        <w:t>Efectos</w:t>
      </w:r>
      <w:r w:rsidRPr="00ED1DD4">
        <w:rPr>
          <w:rFonts w:ascii="Palatino Linotype" w:hAnsi="Palatino Linotype" w:cs="Arial"/>
          <w:b/>
          <w:color w:val="auto"/>
          <w:sz w:val="24"/>
          <w:lang w:val="es-ES_tradnl"/>
        </w:rPr>
        <w:t xml:space="preserve"> de la clasificación de información y la importancia de emitir acuerdos, para tales efectos, apegados a derecho</w:t>
      </w:r>
      <w:bookmarkEnd w:id="3"/>
      <w:r w:rsidRPr="00ED1DD4">
        <w:rPr>
          <w:rFonts w:ascii="Palatino Linotype" w:hAnsi="Palatino Linotype" w:cs="Arial"/>
          <w:b/>
          <w:color w:val="auto"/>
          <w:sz w:val="24"/>
          <w:lang w:val="es-ES_tradnl"/>
        </w:rPr>
        <w:t>.</w:t>
      </w:r>
      <w:bookmarkEnd w:id="4"/>
      <w:bookmarkEnd w:id="5"/>
    </w:p>
    <w:p w:rsidR="00ED1DD4" w:rsidRPr="00ED1DD4" w:rsidRDefault="00ED1DD4" w:rsidP="00ED1DD4">
      <w:pPr>
        <w:pStyle w:val="Prrafodelista"/>
        <w:numPr>
          <w:ilvl w:val="0"/>
          <w:numId w:val="1"/>
        </w:numPr>
        <w:spacing w:before="240" w:after="0" w:line="360" w:lineRule="auto"/>
        <w:ind w:right="49"/>
        <w:jc w:val="both"/>
        <w:rPr>
          <w:rFonts w:ascii="Palatino Linotype" w:hAnsi="Palatino Linotype" w:cs="Arial"/>
          <w:sz w:val="24"/>
          <w:szCs w:val="24"/>
          <w:highlight w:val="yellow"/>
          <w:lang w:val="es-ES_tradnl"/>
        </w:rPr>
      </w:pPr>
      <w:r w:rsidRPr="00ED1DD4">
        <w:rPr>
          <w:rFonts w:ascii="Palatino Linotype" w:hAnsi="Palatino Linotype" w:cs="Arial"/>
          <w:sz w:val="24"/>
          <w:szCs w:val="24"/>
        </w:rPr>
        <w:t xml:space="preserve">Derivado de lo anterior, la Ponencia </w:t>
      </w:r>
      <w:proofErr w:type="spellStart"/>
      <w:r w:rsidRPr="00ED1DD4">
        <w:rPr>
          <w:rFonts w:ascii="Palatino Linotype" w:hAnsi="Palatino Linotype" w:cs="Arial"/>
          <w:sz w:val="24"/>
          <w:szCs w:val="24"/>
        </w:rPr>
        <w:t>Resolutora</w:t>
      </w:r>
      <w:proofErr w:type="spellEnd"/>
      <w:r w:rsidRPr="00ED1DD4">
        <w:rPr>
          <w:rFonts w:ascii="Palatino Linotype" w:hAnsi="Palatino Linotype" w:cs="Arial"/>
          <w:sz w:val="24"/>
          <w:szCs w:val="24"/>
        </w:rPr>
        <w:t xml:space="preserve"> determinó que la Litis en el presente asunto se consideró necesario valorar los elementos aportados por las partes, siendo a todas luces que lo vertido por el Recurrente</w:t>
      </w:r>
      <w:r>
        <w:rPr>
          <w:rFonts w:ascii="Palatino Linotype" w:hAnsi="Palatino Linotype" w:cs="Arial"/>
          <w:sz w:val="24"/>
          <w:szCs w:val="24"/>
        </w:rPr>
        <w:t xml:space="preserve"> adquirió </w:t>
      </w:r>
      <w:r w:rsidRPr="00ED1DD4">
        <w:rPr>
          <w:rFonts w:ascii="Palatino Linotype" w:hAnsi="Palatino Linotype" w:cs="Arial"/>
          <w:sz w:val="24"/>
          <w:szCs w:val="24"/>
        </w:rPr>
        <w:t xml:space="preserve"> mayor peso sobre la respuesta del </w:t>
      </w:r>
      <w:r w:rsidRPr="00ED1DD4">
        <w:rPr>
          <w:rFonts w:ascii="Palatino Linotype" w:hAnsi="Palatino Linotype" w:cs="Arial"/>
          <w:b/>
          <w:sz w:val="24"/>
          <w:szCs w:val="24"/>
        </w:rPr>
        <w:t>Sujeto Obligado</w:t>
      </w:r>
      <w:r w:rsidRPr="00ED1DD4">
        <w:rPr>
          <w:rFonts w:ascii="Palatino Linotype" w:hAnsi="Palatino Linotype" w:cs="Arial"/>
          <w:sz w:val="24"/>
          <w:szCs w:val="24"/>
        </w:rPr>
        <w:t xml:space="preserve"> toda vez que el informe de la </w:t>
      </w:r>
      <w:r w:rsidRPr="00ED1DD4">
        <w:rPr>
          <w:rFonts w:ascii="Palatino Linotype" w:hAnsi="Palatino Linotype" w:cs="Arial"/>
          <w:sz w:val="24"/>
          <w:szCs w:val="24"/>
        </w:rPr>
        <w:lastRenderedPageBreak/>
        <w:t xml:space="preserve">Secretaría de Seguridad del Estado de México fue emitido solo cuatro días antes de la presentación de la solicitud de información que nos ocupa; además, contempla de manera clara y precisa no solo los municipios que integran las estrategias de atención prioritaria sino que explica claramente en qué consisten dichas estrategias así como las autoridades que están obligadas a desarrollarlas, entre las cuales se encuentran las autoridades municipales. </w:t>
      </w:r>
    </w:p>
    <w:p w:rsidR="00ED1DD4" w:rsidRPr="00ED1DD4" w:rsidRDefault="00ED1DD4" w:rsidP="00ED1DD4">
      <w:pPr>
        <w:pStyle w:val="Prrafodelista"/>
        <w:spacing w:before="240" w:after="0" w:line="240" w:lineRule="auto"/>
        <w:ind w:left="360" w:right="49"/>
        <w:jc w:val="both"/>
        <w:rPr>
          <w:rFonts w:ascii="Palatino Linotype" w:hAnsi="Palatino Linotype" w:cs="Arial"/>
          <w:sz w:val="24"/>
          <w:szCs w:val="24"/>
          <w:highlight w:val="yellow"/>
          <w:lang w:val="es-ES_tradnl"/>
        </w:rPr>
      </w:pPr>
    </w:p>
    <w:p w:rsidR="00ED1DD4" w:rsidRDefault="00ED1DD4" w:rsidP="00ED1DD4">
      <w:pPr>
        <w:pStyle w:val="Prrafodelista"/>
        <w:numPr>
          <w:ilvl w:val="0"/>
          <w:numId w:val="1"/>
        </w:numPr>
        <w:spacing w:before="240" w:after="0" w:line="360" w:lineRule="auto"/>
        <w:ind w:right="49"/>
        <w:jc w:val="both"/>
        <w:rPr>
          <w:rFonts w:ascii="Palatino Linotype" w:hAnsi="Palatino Linotype" w:cs="Arial"/>
          <w:sz w:val="24"/>
          <w:szCs w:val="24"/>
        </w:rPr>
      </w:pPr>
      <w:r>
        <w:rPr>
          <w:rFonts w:ascii="Palatino Linotype" w:hAnsi="Palatino Linotype" w:cs="Arial"/>
          <w:sz w:val="24"/>
          <w:szCs w:val="24"/>
        </w:rPr>
        <w:t>Y en consecuencia, determinadas zonas del municipio de Tultitlan efectivamente forman parte de las Estrategias de Atención Prioritaria implementadas por el Gobierno Estatal para combatir la delincuencia de manera integral, así como los delitos de alto impacto, result</w:t>
      </w:r>
      <w:r w:rsidR="0072725A">
        <w:rPr>
          <w:rFonts w:ascii="Palatino Linotype" w:hAnsi="Palatino Linotype" w:cs="Arial"/>
          <w:sz w:val="24"/>
          <w:szCs w:val="24"/>
        </w:rPr>
        <w:t>o</w:t>
      </w:r>
      <w:r>
        <w:rPr>
          <w:rFonts w:ascii="Palatino Linotype" w:hAnsi="Palatino Linotype" w:cs="Arial"/>
          <w:sz w:val="24"/>
          <w:szCs w:val="24"/>
        </w:rPr>
        <w:t xml:space="preserve"> procedente ordenar al </w:t>
      </w:r>
      <w:r w:rsidR="0072725A" w:rsidRPr="0072725A">
        <w:rPr>
          <w:rFonts w:ascii="Palatino Linotype" w:hAnsi="Palatino Linotype" w:cs="Arial"/>
          <w:sz w:val="24"/>
          <w:szCs w:val="24"/>
        </w:rPr>
        <w:t>Sujeto Obligad</w:t>
      </w:r>
      <w:r w:rsidR="0072725A">
        <w:rPr>
          <w:rFonts w:ascii="Palatino Linotype" w:hAnsi="Palatino Linotype" w:cs="Arial"/>
          <w:sz w:val="24"/>
          <w:szCs w:val="24"/>
        </w:rPr>
        <w:t xml:space="preserve">o </w:t>
      </w:r>
      <w:r>
        <w:rPr>
          <w:rFonts w:ascii="Palatino Linotype" w:hAnsi="Palatino Linotype" w:cs="Arial"/>
          <w:sz w:val="24"/>
          <w:szCs w:val="24"/>
        </w:rPr>
        <w:t xml:space="preserve">atender debidamente la solicitud de información que atañe.  </w:t>
      </w:r>
    </w:p>
    <w:p w:rsidR="0072725A" w:rsidRPr="0072725A" w:rsidRDefault="0072725A" w:rsidP="0072725A">
      <w:pPr>
        <w:pStyle w:val="Prrafodelista"/>
        <w:rPr>
          <w:rFonts w:ascii="Palatino Linotype" w:hAnsi="Palatino Linotype" w:cs="Arial"/>
          <w:sz w:val="24"/>
          <w:szCs w:val="24"/>
        </w:rPr>
      </w:pPr>
    </w:p>
    <w:p w:rsidR="0072725A" w:rsidRPr="0072725A" w:rsidRDefault="0072725A" w:rsidP="0072725A">
      <w:pPr>
        <w:pStyle w:val="Prrafodelista"/>
        <w:numPr>
          <w:ilvl w:val="0"/>
          <w:numId w:val="1"/>
        </w:numPr>
        <w:spacing w:before="240" w:after="0" w:line="360" w:lineRule="auto"/>
        <w:ind w:right="49"/>
        <w:jc w:val="both"/>
        <w:rPr>
          <w:rFonts w:ascii="Palatino Linotype" w:hAnsi="Palatino Linotype" w:cs="Arial"/>
          <w:sz w:val="24"/>
          <w:szCs w:val="24"/>
        </w:rPr>
      </w:pPr>
      <w:r w:rsidRPr="0072725A">
        <w:rPr>
          <w:rFonts w:ascii="Palatino Linotype" w:hAnsi="Palatino Linotype" w:cs="Arial"/>
          <w:sz w:val="24"/>
          <w:szCs w:val="24"/>
        </w:rPr>
        <w:t xml:space="preserve">Así pues, la Ponencia </w:t>
      </w:r>
      <w:proofErr w:type="spellStart"/>
      <w:r w:rsidRPr="0072725A">
        <w:rPr>
          <w:rFonts w:ascii="Palatino Linotype" w:hAnsi="Palatino Linotype" w:cs="Arial"/>
          <w:sz w:val="24"/>
          <w:szCs w:val="24"/>
        </w:rPr>
        <w:t>Resolutora</w:t>
      </w:r>
      <w:proofErr w:type="spellEnd"/>
      <w:r w:rsidRPr="0072725A">
        <w:rPr>
          <w:rFonts w:ascii="Palatino Linotype" w:hAnsi="Palatino Linotype" w:cs="Arial"/>
          <w:sz w:val="24"/>
          <w:szCs w:val="24"/>
        </w:rPr>
        <w:t xml:space="preserve"> indico que el Sujeto Obligado debería de </w:t>
      </w:r>
      <w:r w:rsidR="00ED1DD4" w:rsidRPr="0072725A">
        <w:rPr>
          <w:rFonts w:ascii="Palatino Linotype" w:hAnsi="Palatino Linotype" w:cs="Arial"/>
          <w:sz w:val="24"/>
          <w:szCs w:val="24"/>
        </w:rPr>
        <w:t xml:space="preserve">contemplar si hacer pública la </w:t>
      </w:r>
      <w:r w:rsidR="00ED1DD4" w:rsidRPr="0072725A">
        <w:rPr>
          <w:rFonts w:ascii="Palatino Linotype" w:eastAsia="MS Mincho" w:hAnsi="Palatino Linotype" w:cs="Times New Roman"/>
          <w:sz w:val="24"/>
          <w:szCs w:val="24"/>
          <w:lang w:val="es-ES_tradnl" w:eastAsia="es-ES"/>
        </w:rPr>
        <w:t xml:space="preserve">información solicitada no pondría en riesgo la seguridad pública de su municipio, ya que lo que se busca es recomponer el tejido social en lugares de alta incidencia delictiva o factores de riesgo; consecuentemente, no debe pasar inadvertido </w:t>
      </w:r>
      <w:r w:rsidR="00ED1DD4" w:rsidRPr="0072725A">
        <w:rPr>
          <w:rFonts w:ascii="Palatino Linotype" w:eastAsia="MS Mincho" w:hAnsi="Palatino Linotype" w:cs="Times New Roman"/>
          <w:sz w:val="24"/>
          <w:szCs w:val="24"/>
          <w:lang w:eastAsia="es-ES"/>
        </w:rPr>
        <w:t>que la documentación en la que pudiera obrar lo solicitado, existe la posibilidad de contener información policiaca sobre los diagnósticos y estrategias para combatir la delincuencia</w:t>
      </w:r>
      <w:r>
        <w:rPr>
          <w:rFonts w:ascii="Palatino Linotype" w:eastAsia="MS Mincho" w:hAnsi="Palatino Linotype" w:cs="Times New Roman"/>
          <w:sz w:val="24"/>
          <w:szCs w:val="24"/>
          <w:lang w:eastAsia="es-ES"/>
        </w:rPr>
        <w:t xml:space="preserve">. </w:t>
      </w:r>
    </w:p>
    <w:p w:rsidR="0072725A" w:rsidRPr="0072725A" w:rsidRDefault="0072725A" w:rsidP="0072725A">
      <w:pPr>
        <w:pStyle w:val="Prrafodelista"/>
        <w:rPr>
          <w:rFonts w:ascii="Palatino Linotype" w:eastAsia="MS Mincho" w:hAnsi="Palatino Linotype" w:cs="Times New Roman"/>
          <w:sz w:val="24"/>
          <w:szCs w:val="24"/>
          <w:lang w:eastAsia="es-ES"/>
        </w:rPr>
      </w:pPr>
    </w:p>
    <w:p w:rsidR="0072725A" w:rsidRPr="0072725A" w:rsidRDefault="0072725A" w:rsidP="00E4766E">
      <w:pPr>
        <w:pStyle w:val="Prrafodelista"/>
        <w:numPr>
          <w:ilvl w:val="0"/>
          <w:numId w:val="1"/>
        </w:numPr>
        <w:spacing w:before="240" w:after="0" w:line="360" w:lineRule="auto"/>
        <w:ind w:right="49"/>
        <w:jc w:val="both"/>
        <w:rPr>
          <w:rFonts w:ascii="Palatino Linotype" w:hAnsi="Palatino Linotype" w:cs="Arial"/>
          <w:sz w:val="24"/>
          <w:szCs w:val="24"/>
          <w:lang w:val="es-ES_tradnl"/>
        </w:rPr>
      </w:pPr>
      <w:r w:rsidRPr="0072725A">
        <w:rPr>
          <w:rFonts w:ascii="Palatino Linotype" w:eastAsia="MS Mincho" w:hAnsi="Palatino Linotype" w:cs="Times New Roman"/>
          <w:sz w:val="24"/>
          <w:szCs w:val="24"/>
          <w:lang w:eastAsia="es-ES"/>
        </w:rPr>
        <w:t xml:space="preserve">Si bien, indicó el fundamento legal del cual si el Sujeto Obligado creía permitente se reservara la información. </w:t>
      </w:r>
    </w:p>
    <w:p w:rsidR="0072725A" w:rsidRPr="0072725A" w:rsidRDefault="0072725A" w:rsidP="0072725A">
      <w:pPr>
        <w:pStyle w:val="Prrafodelista"/>
        <w:rPr>
          <w:rFonts w:ascii="Palatino Linotype" w:hAnsi="Palatino Linotype" w:cs="Arial"/>
          <w:sz w:val="24"/>
          <w:szCs w:val="24"/>
          <w:lang w:val="es-ES_tradnl"/>
        </w:rPr>
      </w:pPr>
    </w:p>
    <w:p w:rsidR="00440A94" w:rsidRPr="0072725A" w:rsidRDefault="00440A94" w:rsidP="00E4766E">
      <w:pPr>
        <w:pStyle w:val="Prrafodelista"/>
        <w:numPr>
          <w:ilvl w:val="0"/>
          <w:numId w:val="1"/>
        </w:numPr>
        <w:spacing w:before="240" w:after="0" w:line="360" w:lineRule="auto"/>
        <w:ind w:right="49"/>
        <w:jc w:val="both"/>
        <w:rPr>
          <w:rFonts w:ascii="Palatino Linotype" w:hAnsi="Palatino Linotype" w:cs="Arial"/>
          <w:sz w:val="24"/>
          <w:szCs w:val="24"/>
          <w:lang w:val="es-ES_tradnl"/>
        </w:rPr>
      </w:pPr>
      <w:r w:rsidRPr="0072725A">
        <w:rPr>
          <w:rFonts w:ascii="Palatino Linotype" w:hAnsi="Palatino Linotype" w:cs="Arial"/>
          <w:sz w:val="24"/>
          <w:szCs w:val="24"/>
          <w:lang w:val="es-ES_tradnl"/>
        </w:rPr>
        <w:t xml:space="preserve">De lo </w:t>
      </w:r>
      <w:r w:rsidRPr="0072725A">
        <w:rPr>
          <w:rFonts w:ascii="Palatino Linotype" w:hAnsi="Palatino Linotype" w:cs="Arial"/>
          <w:sz w:val="24"/>
          <w:lang w:val="es-ES_tradnl"/>
        </w:rPr>
        <w:t>anterior</w:t>
      </w:r>
      <w:r w:rsidRPr="0072725A">
        <w:rPr>
          <w:rFonts w:ascii="Palatino Linotype" w:hAnsi="Palatino Linotype" w:cs="Arial"/>
          <w:sz w:val="24"/>
          <w:szCs w:val="24"/>
          <w:lang w:val="es-ES_tradnl"/>
        </w:rPr>
        <w:t>, es menester señalar que el Instituto Nacional de Transparencia y Acceso a la Información y Protección de Datos Personales,</w:t>
      </w:r>
      <w:r w:rsidR="000A6B67" w:rsidRPr="0072725A">
        <w:rPr>
          <w:rFonts w:ascii="Palatino Linotype" w:hAnsi="Palatino Linotype" w:cs="Arial"/>
          <w:sz w:val="24"/>
          <w:szCs w:val="24"/>
          <w:lang w:val="es-ES_tradnl"/>
        </w:rPr>
        <w:t xml:space="preserve"> como ejemplo</w:t>
      </w:r>
      <w:r w:rsidRPr="0072725A">
        <w:rPr>
          <w:rFonts w:ascii="Palatino Linotype" w:hAnsi="Palatino Linotype" w:cs="Arial"/>
          <w:sz w:val="24"/>
          <w:szCs w:val="24"/>
          <w:lang w:val="es-ES_tradnl"/>
        </w:rPr>
        <w:t xml:space="preserve"> en el expediente RIA 82/18, establece que para acreditar la reserva de la información, es necesario actualizar cuatro requisitos, siendo estos los siguientes:</w:t>
      </w:r>
    </w:p>
    <w:p w:rsidR="00440A94" w:rsidRPr="001C3BD8" w:rsidRDefault="00440A94" w:rsidP="00440A94">
      <w:pPr>
        <w:pStyle w:val="Prrafodelista"/>
        <w:spacing w:line="240" w:lineRule="auto"/>
        <w:rPr>
          <w:rFonts w:ascii="Palatino Linotype" w:hAnsi="Palatino Linotype" w:cs="Arial"/>
          <w:sz w:val="24"/>
          <w:szCs w:val="24"/>
          <w:lang w:val="es-ES_tradnl"/>
        </w:rPr>
      </w:pPr>
    </w:p>
    <w:p w:rsidR="00440A94" w:rsidRPr="001C3BD8" w:rsidRDefault="00440A94" w:rsidP="00440A94">
      <w:pPr>
        <w:pStyle w:val="Prrafodelista"/>
        <w:numPr>
          <w:ilvl w:val="0"/>
          <w:numId w:val="36"/>
        </w:numPr>
        <w:spacing w:after="0" w:line="276" w:lineRule="auto"/>
        <w:ind w:right="616"/>
        <w:jc w:val="both"/>
        <w:rPr>
          <w:rFonts w:ascii="Palatino Linotype" w:hAnsi="Palatino Linotype" w:cs="Arial"/>
          <w:b/>
          <w:sz w:val="24"/>
          <w:szCs w:val="24"/>
          <w:lang w:val="es-ES_tradnl"/>
        </w:rPr>
      </w:pPr>
      <w:r w:rsidRPr="001C3BD8">
        <w:rPr>
          <w:rFonts w:ascii="Palatino Linotype" w:hAnsi="Palatino Linotype" w:cs="Arial"/>
          <w:b/>
          <w:sz w:val="24"/>
          <w:szCs w:val="24"/>
          <w:lang w:val="es-ES_tradnl"/>
        </w:rPr>
        <w:t xml:space="preserve">La existencia de un juicio o procedimiento administrativo materialmente jurisdiccional. </w:t>
      </w:r>
    </w:p>
    <w:p w:rsidR="00440A94" w:rsidRPr="001C3BD8" w:rsidRDefault="00440A94" w:rsidP="00440A94">
      <w:pPr>
        <w:pStyle w:val="Prrafodelista"/>
        <w:numPr>
          <w:ilvl w:val="0"/>
          <w:numId w:val="36"/>
        </w:numPr>
        <w:spacing w:after="0" w:line="276" w:lineRule="auto"/>
        <w:ind w:right="616"/>
        <w:jc w:val="both"/>
        <w:rPr>
          <w:rFonts w:ascii="Palatino Linotype" w:hAnsi="Palatino Linotype" w:cs="Arial"/>
          <w:b/>
          <w:sz w:val="24"/>
          <w:szCs w:val="24"/>
          <w:lang w:val="es-ES_tradnl"/>
        </w:rPr>
      </w:pPr>
      <w:r w:rsidRPr="001C3BD8">
        <w:rPr>
          <w:rFonts w:ascii="Palatino Linotype" w:hAnsi="Palatino Linotype" w:cs="Arial"/>
          <w:b/>
          <w:sz w:val="24"/>
          <w:szCs w:val="24"/>
          <w:lang w:val="es-ES_tradnl"/>
        </w:rPr>
        <w:t>Que el juicio se encuentre en trámite, es decir, que no haya causado estado.</w:t>
      </w:r>
    </w:p>
    <w:p w:rsidR="00440A94" w:rsidRPr="001C3BD8" w:rsidRDefault="00440A94" w:rsidP="00440A94">
      <w:pPr>
        <w:pStyle w:val="Prrafodelista"/>
        <w:numPr>
          <w:ilvl w:val="0"/>
          <w:numId w:val="36"/>
        </w:numPr>
        <w:spacing w:after="0" w:line="276" w:lineRule="auto"/>
        <w:ind w:right="616"/>
        <w:jc w:val="both"/>
        <w:rPr>
          <w:rFonts w:ascii="Palatino Linotype" w:hAnsi="Palatino Linotype" w:cs="Arial"/>
          <w:b/>
          <w:sz w:val="24"/>
          <w:szCs w:val="24"/>
          <w:lang w:val="es-ES_tradnl"/>
        </w:rPr>
      </w:pPr>
      <w:r w:rsidRPr="001C3BD8">
        <w:rPr>
          <w:rFonts w:ascii="Palatino Linotype" w:hAnsi="Palatino Linotype" w:cs="Arial"/>
          <w:b/>
          <w:sz w:val="24"/>
          <w:szCs w:val="24"/>
          <w:lang w:val="es-ES_tradnl"/>
        </w:rPr>
        <w:t xml:space="preserve">El vínculo entre la información solicitada y el procedimiento judicial de que se trate. </w:t>
      </w:r>
    </w:p>
    <w:p w:rsidR="00440A94" w:rsidRPr="001C3BD8" w:rsidRDefault="00440A94" w:rsidP="00440A94">
      <w:pPr>
        <w:pStyle w:val="Prrafodelista"/>
        <w:numPr>
          <w:ilvl w:val="0"/>
          <w:numId w:val="36"/>
        </w:numPr>
        <w:spacing w:after="0" w:line="276" w:lineRule="auto"/>
        <w:ind w:right="616"/>
        <w:jc w:val="both"/>
        <w:rPr>
          <w:rFonts w:ascii="Palatino Linotype" w:hAnsi="Palatino Linotype" w:cs="Arial"/>
          <w:b/>
          <w:sz w:val="24"/>
          <w:szCs w:val="24"/>
          <w:lang w:val="es-ES_tradnl"/>
        </w:rPr>
      </w:pPr>
      <w:r w:rsidRPr="001C3BD8">
        <w:rPr>
          <w:rFonts w:ascii="Palatino Linotype" w:hAnsi="Palatino Linotype" w:cs="Arial"/>
          <w:b/>
          <w:sz w:val="24"/>
          <w:szCs w:val="24"/>
          <w:lang w:val="es-ES_tradnl"/>
        </w:rPr>
        <w:t xml:space="preserve">Que la difusión de la información pueda causar un daño y/o perjuicio a las atribuciones del Tribunal durante el juicio, es decir, que el contenido de la información vulnere, impida u obstruya los procedimientos que se ventilan. </w:t>
      </w:r>
    </w:p>
    <w:p w:rsidR="00440A94" w:rsidRPr="001C3BD8" w:rsidRDefault="00440A94" w:rsidP="0072725A">
      <w:pPr>
        <w:pStyle w:val="Prrafodelista"/>
        <w:spacing w:before="240" w:after="240" w:line="240" w:lineRule="auto"/>
        <w:ind w:left="0" w:right="49"/>
        <w:jc w:val="both"/>
        <w:rPr>
          <w:rFonts w:ascii="Palatino Linotype" w:hAnsi="Palatino Linotype" w:cs="Arial"/>
          <w:sz w:val="24"/>
          <w:szCs w:val="24"/>
          <w:lang w:val="es-ES_tradnl"/>
        </w:rPr>
      </w:pPr>
    </w:p>
    <w:p w:rsidR="00440A94" w:rsidRPr="001C3BD8" w:rsidRDefault="00440A94" w:rsidP="00440A94">
      <w:pPr>
        <w:pStyle w:val="Prrafodelista"/>
        <w:numPr>
          <w:ilvl w:val="0"/>
          <w:numId w:val="1"/>
        </w:numPr>
        <w:spacing w:before="240" w:after="0" w:line="360" w:lineRule="auto"/>
        <w:ind w:right="49"/>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t xml:space="preserve">Por lo que, únicamente al configurarse los mismos, es procedente la reserva de la </w:t>
      </w:r>
      <w:r w:rsidRPr="00440A94">
        <w:rPr>
          <w:rFonts w:ascii="Palatino Linotype" w:hAnsi="Palatino Linotype" w:cs="Arial"/>
          <w:sz w:val="24"/>
          <w:lang w:val="es-ES_tradnl"/>
        </w:rPr>
        <w:t>información</w:t>
      </w:r>
      <w:r w:rsidRPr="001C3BD8">
        <w:rPr>
          <w:rFonts w:ascii="Palatino Linotype" w:hAnsi="Palatino Linotype" w:cs="Arial"/>
          <w:sz w:val="24"/>
          <w:szCs w:val="24"/>
          <w:lang w:val="es-ES_tradnl"/>
        </w:rPr>
        <w:t xml:space="preserve">, si uno de los requisitos faltase, no será en ningún momento posible su reserva. </w:t>
      </w:r>
    </w:p>
    <w:p w:rsidR="00440A94" w:rsidRPr="0072725A" w:rsidRDefault="00440A94" w:rsidP="0072725A">
      <w:pPr>
        <w:pStyle w:val="Prrafodelista"/>
        <w:spacing w:before="240" w:after="240" w:line="240" w:lineRule="auto"/>
        <w:ind w:left="0" w:right="49"/>
        <w:jc w:val="both"/>
        <w:rPr>
          <w:rFonts w:ascii="Palatino Linotype" w:hAnsi="Palatino Linotype" w:cs="Arial"/>
          <w:sz w:val="12"/>
          <w:szCs w:val="24"/>
          <w:lang w:val="es-ES_tradnl"/>
        </w:rPr>
      </w:pPr>
    </w:p>
    <w:p w:rsidR="00440A94" w:rsidRPr="001C3BD8" w:rsidRDefault="00440A94" w:rsidP="00440A94">
      <w:pPr>
        <w:pStyle w:val="Prrafodelista"/>
        <w:numPr>
          <w:ilvl w:val="0"/>
          <w:numId w:val="1"/>
        </w:numPr>
        <w:spacing w:before="240" w:after="0" w:line="360" w:lineRule="auto"/>
        <w:ind w:right="49"/>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t xml:space="preserve">Del </w:t>
      </w:r>
      <w:r w:rsidRPr="00440A94">
        <w:rPr>
          <w:rFonts w:ascii="Palatino Linotype" w:hAnsi="Palatino Linotype" w:cs="Arial"/>
          <w:sz w:val="24"/>
          <w:lang w:val="es-ES_tradnl"/>
        </w:rPr>
        <w:t>expediente</w:t>
      </w:r>
      <w:r w:rsidRPr="001C3BD8">
        <w:rPr>
          <w:rFonts w:ascii="Palatino Linotype" w:hAnsi="Palatino Linotype" w:cs="Arial"/>
          <w:sz w:val="24"/>
          <w:szCs w:val="24"/>
          <w:lang w:val="es-ES_tradnl"/>
        </w:rPr>
        <w:t xml:space="preserve">, objeto de mi presente voto, advierto que del estudio minucioso de la resolución dictada por la ponencia resolutoria, se desprende lo siguiente: </w:t>
      </w:r>
    </w:p>
    <w:p w:rsidR="00440A94" w:rsidRPr="0072725A" w:rsidRDefault="00440A94" w:rsidP="0072725A">
      <w:pPr>
        <w:pStyle w:val="Prrafodelista"/>
        <w:spacing w:line="240" w:lineRule="auto"/>
        <w:rPr>
          <w:rFonts w:ascii="Palatino Linotype" w:hAnsi="Palatino Linotype" w:cs="Arial"/>
          <w:sz w:val="14"/>
          <w:szCs w:val="24"/>
          <w:lang w:val="es-ES_tradnl"/>
        </w:rPr>
      </w:pPr>
    </w:p>
    <w:p w:rsidR="0072725A" w:rsidRDefault="00440A94" w:rsidP="00440A94">
      <w:pPr>
        <w:pStyle w:val="Prrafodelista"/>
        <w:numPr>
          <w:ilvl w:val="0"/>
          <w:numId w:val="35"/>
        </w:numPr>
        <w:spacing w:before="240" w:after="240" w:line="360" w:lineRule="auto"/>
        <w:ind w:left="567" w:right="616" w:hanging="11"/>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t>El Sujeto Obligado</w:t>
      </w:r>
      <w:r w:rsidR="0072725A">
        <w:rPr>
          <w:rFonts w:ascii="Palatino Linotype" w:hAnsi="Palatino Linotype" w:cs="Arial"/>
          <w:sz w:val="24"/>
          <w:szCs w:val="24"/>
          <w:lang w:val="es-ES_tradnl"/>
        </w:rPr>
        <w:t xml:space="preserve"> no</w:t>
      </w:r>
      <w:r w:rsidRPr="001C3BD8">
        <w:rPr>
          <w:rFonts w:ascii="Palatino Linotype" w:hAnsi="Palatino Linotype" w:cs="Arial"/>
          <w:sz w:val="24"/>
          <w:szCs w:val="24"/>
          <w:lang w:val="es-ES_tradnl"/>
        </w:rPr>
        <w:t xml:space="preserve"> reservó la información</w:t>
      </w:r>
      <w:r w:rsidR="0072725A">
        <w:rPr>
          <w:rFonts w:ascii="Palatino Linotype" w:hAnsi="Palatino Linotype" w:cs="Arial"/>
          <w:sz w:val="24"/>
          <w:szCs w:val="24"/>
          <w:lang w:val="es-ES_tradnl"/>
        </w:rPr>
        <w:t>.</w:t>
      </w:r>
    </w:p>
    <w:p w:rsidR="00440A94" w:rsidRPr="001C3BD8" w:rsidRDefault="0072725A" w:rsidP="00440A94">
      <w:pPr>
        <w:pStyle w:val="Prrafodelista"/>
        <w:numPr>
          <w:ilvl w:val="0"/>
          <w:numId w:val="35"/>
        </w:numPr>
        <w:spacing w:before="240" w:after="240" w:line="360" w:lineRule="auto"/>
        <w:ind w:left="567" w:right="616" w:hanging="11"/>
        <w:jc w:val="both"/>
        <w:rPr>
          <w:rFonts w:ascii="Palatino Linotype" w:hAnsi="Palatino Linotype" w:cs="Arial"/>
          <w:sz w:val="24"/>
          <w:szCs w:val="24"/>
          <w:lang w:val="es-ES_tradnl"/>
        </w:rPr>
      </w:pPr>
      <w:r>
        <w:rPr>
          <w:rFonts w:ascii="Palatino Linotype" w:hAnsi="Palatino Linotype" w:cs="Arial"/>
          <w:sz w:val="24"/>
          <w:szCs w:val="24"/>
          <w:lang w:val="es-ES_tradnl"/>
        </w:rPr>
        <w:t xml:space="preserve">La Ponencia </w:t>
      </w:r>
      <w:proofErr w:type="spellStart"/>
      <w:r>
        <w:rPr>
          <w:rFonts w:ascii="Palatino Linotype" w:hAnsi="Palatino Linotype" w:cs="Arial"/>
          <w:sz w:val="24"/>
          <w:szCs w:val="24"/>
          <w:lang w:val="es-ES_tradnl"/>
        </w:rPr>
        <w:t>resolutora</w:t>
      </w:r>
      <w:proofErr w:type="spellEnd"/>
      <w:r>
        <w:rPr>
          <w:rFonts w:ascii="Palatino Linotype" w:hAnsi="Palatino Linotype" w:cs="Arial"/>
          <w:sz w:val="24"/>
          <w:szCs w:val="24"/>
          <w:lang w:val="es-ES_tradnl"/>
        </w:rPr>
        <w:t xml:space="preserve"> es quien indica que en caso de que el </w:t>
      </w:r>
      <w:r w:rsidR="003934C5">
        <w:rPr>
          <w:rFonts w:ascii="Palatino Linotype" w:hAnsi="Palatino Linotype" w:cs="Arial"/>
          <w:sz w:val="24"/>
          <w:szCs w:val="24"/>
          <w:lang w:val="es-ES_tradnl"/>
        </w:rPr>
        <w:t xml:space="preserve">Sujeto </w:t>
      </w:r>
      <w:r>
        <w:rPr>
          <w:rFonts w:ascii="Palatino Linotype" w:hAnsi="Palatino Linotype" w:cs="Arial"/>
          <w:sz w:val="24"/>
          <w:szCs w:val="24"/>
          <w:lang w:val="es-ES_tradnl"/>
        </w:rPr>
        <w:t xml:space="preserve">Obligado lo considere, deberá de reservar la información, empero lo </w:t>
      </w:r>
      <w:r>
        <w:rPr>
          <w:rFonts w:ascii="Palatino Linotype" w:hAnsi="Palatino Linotype" w:cs="Arial"/>
          <w:sz w:val="24"/>
          <w:szCs w:val="24"/>
          <w:lang w:val="es-ES_tradnl"/>
        </w:rPr>
        <w:lastRenderedPageBreak/>
        <w:t>anterior, no se analizó</w:t>
      </w:r>
      <w:r w:rsidR="00440A94" w:rsidRPr="001C3BD8">
        <w:rPr>
          <w:rFonts w:ascii="Palatino Linotype" w:hAnsi="Palatino Linotype" w:cs="Arial"/>
          <w:sz w:val="24"/>
          <w:szCs w:val="24"/>
          <w:lang w:val="es-ES_tradnl"/>
        </w:rPr>
        <w:t xml:space="preserve"> la naturaleza de la misma, sin ajustar las circunstancias de modo tiempo y lugar a la hip</w:t>
      </w:r>
      <w:r w:rsidR="00EF2367">
        <w:rPr>
          <w:rFonts w:ascii="Palatino Linotype" w:hAnsi="Palatino Linotype" w:cs="Arial"/>
          <w:sz w:val="24"/>
          <w:szCs w:val="24"/>
          <w:lang w:val="es-ES_tradnl"/>
        </w:rPr>
        <w:t>ótesis que configura la reserva.</w:t>
      </w:r>
    </w:p>
    <w:p w:rsidR="00440A94" w:rsidRDefault="00EF2367" w:rsidP="00440A94">
      <w:pPr>
        <w:pStyle w:val="Prrafodelista"/>
        <w:numPr>
          <w:ilvl w:val="0"/>
          <w:numId w:val="35"/>
        </w:numPr>
        <w:spacing w:before="240" w:after="240" w:line="360" w:lineRule="auto"/>
        <w:ind w:left="567" w:right="616" w:hanging="11"/>
        <w:jc w:val="both"/>
        <w:rPr>
          <w:rFonts w:ascii="Palatino Linotype" w:hAnsi="Palatino Linotype" w:cs="Arial"/>
          <w:sz w:val="24"/>
          <w:szCs w:val="24"/>
          <w:lang w:val="es-ES_tradnl"/>
        </w:rPr>
      </w:pPr>
      <w:r>
        <w:rPr>
          <w:rFonts w:ascii="Palatino Linotype" w:hAnsi="Palatino Linotype" w:cs="Arial"/>
          <w:sz w:val="24"/>
          <w:szCs w:val="24"/>
          <w:lang w:val="es-ES_tradnl"/>
        </w:rPr>
        <w:t xml:space="preserve">No se garantizó el principio de máxima publicidad. </w:t>
      </w:r>
    </w:p>
    <w:p w:rsidR="00440A94" w:rsidRPr="006D278C" w:rsidRDefault="00440A94" w:rsidP="00440A94">
      <w:pPr>
        <w:pStyle w:val="Prrafodelista"/>
        <w:spacing w:before="240" w:after="240" w:line="240" w:lineRule="auto"/>
        <w:ind w:left="567" w:right="616"/>
        <w:jc w:val="both"/>
        <w:rPr>
          <w:rFonts w:ascii="Palatino Linotype" w:hAnsi="Palatino Linotype" w:cs="Arial"/>
          <w:sz w:val="16"/>
          <w:szCs w:val="24"/>
          <w:lang w:val="es-ES_tradnl"/>
        </w:rPr>
      </w:pPr>
    </w:p>
    <w:p w:rsidR="00440A94" w:rsidRPr="001C3BD8" w:rsidRDefault="00440A94" w:rsidP="00440A94">
      <w:pPr>
        <w:pStyle w:val="Prrafodelista"/>
        <w:numPr>
          <w:ilvl w:val="0"/>
          <w:numId w:val="1"/>
        </w:numPr>
        <w:spacing w:before="240" w:after="0" w:line="360" w:lineRule="auto"/>
        <w:ind w:right="49"/>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t xml:space="preserve">De lo </w:t>
      </w:r>
      <w:r w:rsidRPr="00440A94">
        <w:rPr>
          <w:rFonts w:ascii="Palatino Linotype" w:hAnsi="Palatino Linotype" w:cs="Arial"/>
          <w:sz w:val="24"/>
          <w:lang w:val="es-ES_tradnl"/>
        </w:rPr>
        <w:t>anterior</w:t>
      </w:r>
      <w:r w:rsidRPr="001C3BD8">
        <w:rPr>
          <w:rFonts w:ascii="Palatino Linotype" w:hAnsi="Palatino Linotype" w:cs="Arial"/>
          <w:sz w:val="24"/>
          <w:szCs w:val="24"/>
          <w:lang w:val="es-ES_tradnl"/>
        </w:rPr>
        <w:t>, se  entiende que en ningún momento el Sujeto Obligado estudió ni abordó las cuatro fases de reserva y a consecuencia no realizó una prueba de daño debidamente fundamentada ni motivada, tal como lo establece la fracción X del artículo 140 de la Ley de Transparencia y Acceso a la Información Pública del Es</w:t>
      </w:r>
      <w:r w:rsidR="003934C5">
        <w:rPr>
          <w:rFonts w:ascii="Palatino Linotype" w:hAnsi="Palatino Linotype" w:cs="Arial"/>
          <w:sz w:val="24"/>
          <w:szCs w:val="24"/>
          <w:lang w:val="es-ES_tradnl"/>
        </w:rPr>
        <w:t>tado de México.</w:t>
      </w:r>
    </w:p>
    <w:p w:rsidR="00440A94" w:rsidRPr="006D278C" w:rsidRDefault="00440A94" w:rsidP="00440A94">
      <w:pPr>
        <w:pStyle w:val="Prrafodelista"/>
        <w:spacing w:line="240" w:lineRule="auto"/>
        <w:ind w:left="0" w:right="49"/>
        <w:jc w:val="both"/>
        <w:rPr>
          <w:rFonts w:ascii="Palatino Linotype" w:hAnsi="Palatino Linotype" w:cs="Arial"/>
          <w:szCs w:val="24"/>
          <w:lang w:val="es-ES_tradnl"/>
        </w:rPr>
      </w:pPr>
    </w:p>
    <w:p w:rsidR="00440A94" w:rsidRPr="001C3BD8" w:rsidRDefault="00440A94" w:rsidP="00440A94">
      <w:pPr>
        <w:pStyle w:val="Prrafodelista"/>
        <w:numPr>
          <w:ilvl w:val="0"/>
          <w:numId w:val="1"/>
        </w:numPr>
        <w:spacing w:before="240" w:after="0" w:line="360" w:lineRule="auto"/>
        <w:ind w:right="49"/>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t xml:space="preserve">Respecto al análisis realizado por la </w:t>
      </w:r>
      <w:r w:rsidR="003934C5" w:rsidRPr="001C3BD8">
        <w:rPr>
          <w:rFonts w:ascii="Palatino Linotype" w:hAnsi="Palatino Linotype" w:cs="Arial"/>
          <w:sz w:val="24"/>
          <w:szCs w:val="24"/>
          <w:lang w:val="es-ES_tradnl"/>
        </w:rPr>
        <w:t xml:space="preserve">Ponencia </w:t>
      </w:r>
      <w:proofErr w:type="spellStart"/>
      <w:r w:rsidR="003934C5" w:rsidRPr="001C3BD8">
        <w:rPr>
          <w:rFonts w:ascii="Palatino Linotype" w:hAnsi="Palatino Linotype" w:cs="Arial"/>
          <w:sz w:val="24"/>
          <w:szCs w:val="24"/>
          <w:lang w:val="es-ES_tradnl"/>
        </w:rPr>
        <w:t>Resolutora</w:t>
      </w:r>
      <w:proofErr w:type="spellEnd"/>
      <w:r w:rsidR="003934C5" w:rsidRPr="001C3BD8">
        <w:rPr>
          <w:rFonts w:ascii="Palatino Linotype" w:hAnsi="Palatino Linotype" w:cs="Arial"/>
          <w:sz w:val="24"/>
          <w:szCs w:val="24"/>
          <w:lang w:val="es-ES_tradnl"/>
        </w:rPr>
        <w:t xml:space="preserve"> </w:t>
      </w:r>
      <w:r w:rsidRPr="001C3BD8">
        <w:rPr>
          <w:rFonts w:ascii="Palatino Linotype" w:hAnsi="Palatino Linotype" w:cs="Arial"/>
          <w:sz w:val="24"/>
          <w:szCs w:val="24"/>
          <w:lang w:val="es-ES_tradnl"/>
        </w:rPr>
        <w:t xml:space="preserve">tampoco analizó debidamente tales circunstancias, solamente se constriñe a señalar que la información pública en posesión de los sujetos obligados, debe de ser entregada a los particulares para su conocimiento, a menos que se actualicen las limitantes para restringir su acceso, sin embargo, su estudio no tocó los alcances de la figura de la reserva, ni los requisitos para su configuración, en razón de que en ningún momento se pronuncia respecto a tal circunstancia, manteniendo dicha postura y estudio en el mismo sentido. </w:t>
      </w:r>
    </w:p>
    <w:p w:rsidR="00440A94" w:rsidRPr="001C3BD8" w:rsidRDefault="00440A94" w:rsidP="003934C5">
      <w:pPr>
        <w:pStyle w:val="Prrafodelista"/>
        <w:spacing w:line="240" w:lineRule="auto"/>
        <w:rPr>
          <w:rFonts w:ascii="Palatino Linotype" w:hAnsi="Palatino Linotype" w:cs="Arial"/>
          <w:sz w:val="24"/>
          <w:szCs w:val="24"/>
          <w:lang w:val="es-ES_tradnl"/>
        </w:rPr>
      </w:pPr>
    </w:p>
    <w:p w:rsidR="00440A94" w:rsidRPr="001C3BD8" w:rsidRDefault="00440A94" w:rsidP="00440A94">
      <w:pPr>
        <w:pStyle w:val="Prrafodelista"/>
        <w:numPr>
          <w:ilvl w:val="0"/>
          <w:numId w:val="1"/>
        </w:numPr>
        <w:spacing w:before="240" w:after="0" w:line="360" w:lineRule="auto"/>
        <w:ind w:right="49"/>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t xml:space="preserve">Es imprescriptible señalar que en el presente año, este Órgano </w:t>
      </w:r>
      <w:proofErr w:type="spellStart"/>
      <w:r w:rsidRPr="001C3BD8">
        <w:rPr>
          <w:rFonts w:ascii="Palatino Linotype" w:hAnsi="Palatino Linotype" w:cs="Arial"/>
          <w:sz w:val="24"/>
          <w:szCs w:val="24"/>
          <w:lang w:val="es-ES_tradnl"/>
        </w:rPr>
        <w:t>Resolutor</w:t>
      </w:r>
      <w:proofErr w:type="spellEnd"/>
      <w:r w:rsidRPr="001C3BD8">
        <w:rPr>
          <w:rFonts w:ascii="Palatino Linotype" w:hAnsi="Palatino Linotype" w:cs="Arial"/>
          <w:sz w:val="24"/>
          <w:szCs w:val="24"/>
          <w:lang w:val="es-ES_tradnl"/>
        </w:rPr>
        <w:t xml:space="preserve"> ha sido sometido a un estricto control por parte del Instituto Nacional de Transparencia, Acceso a la Información y Protección de Datos Personales (INAI), como resultado de los Recursos de Inconformidad </w:t>
      </w:r>
      <w:r w:rsidRPr="001C3BD8">
        <w:rPr>
          <w:rFonts w:ascii="Palatino Linotype" w:hAnsi="Palatino Linotype" w:cs="Arial"/>
          <w:sz w:val="24"/>
          <w:szCs w:val="24"/>
          <w:lang w:val="es-ES_tradnl" w:eastAsia="es-MX"/>
        </w:rPr>
        <w:t>069/18 y RIA 082/18</w:t>
      </w:r>
      <w:r w:rsidRPr="001C3BD8">
        <w:rPr>
          <w:rFonts w:ascii="Palatino Linotype" w:hAnsi="Palatino Linotype" w:cs="Arial"/>
          <w:sz w:val="24"/>
          <w:szCs w:val="24"/>
          <w:lang w:val="es-ES_tradnl"/>
        </w:rPr>
        <w:t xml:space="preserve">, en los que el </w:t>
      </w:r>
      <w:r w:rsidRPr="001C3BD8">
        <w:rPr>
          <w:rFonts w:ascii="Palatino Linotype" w:hAnsi="Palatino Linotype" w:cs="Arial"/>
          <w:sz w:val="24"/>
          <w:szCs w:val="24"/>
          <w:lang w:val="es-ES_tradnl"/>
        </w:rPr>
        <w:lastRenderedPageBreak/>
        <w:t xml:space="preserve">Órgano Garante Nacional, puntualmente dirigió a este Órgano Garante local, que para invocar la causal de reserva, se deben de agotar todos y cada uno de los requisitos. </w:t>
      </w:r>
    </w:p>
    <w:p w:rsidR="00440A94" w:rsidRPr="001C3BD8" w:rsidRDefault="00440A94" w:rsidP="00440A94">
      <w:pPr>
        <w:pStyle w:val="Prrafodelista"/>
        <w:spacing w:line="240" w:lineRule="auto"/>
        <w:ind w:left="0" w:right="49"/>
        <w:jc w:val="both"/>
        <w:rPr>
          <w:rFonts w:ascii="Palatino Linotype" w:hAnsi="Palatino Linotype" w:cs="Arial"/>
          <w:sz w:val="24"/>
          <w:szCs w:val="24"/>
          <w:lang w:val="es-ES_tradnl"/>
        </w:rPr>
      </w:pPr>
    </w:p>
    <w:p w:rsidR="00440A94" w:rsidRDefault="00440A94" w:rsidP="00440A94">
      <w:pPr>
        <w:pStyle w:val="Prrafodelista"/>
        <w:numPr>
          <w:ilvl w:val="0"/>
          <w:numId w:val="1"/>
        </w:numPr>
        <w:spacing w:before="240" w:after="0" w:line="360" w:lineRule="auto"/>
        <w:ind w:right="49"/>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t xml:space="preserve">Por lo que, es de suma importancia atender las observaciones que ha realizado nuestra Autoridad Nacional en  materia de transparencia, al señalarnos que la propuesta de reserva de la información, sin configurar los requisitos señalados para ésta, afecta la certidumbre jurídica, daña la esfera más íntima de derechos del particular, al tenor de que, el limitarse a realizar un estudio normativo de contraste con diversos ordenamientos jurídicos, es únicamente un ejercicio de argumentación, más no comprende, en estricto sentido un reclamo de derechos subjetivos, una generación de derechos, reclamo de una de las partes u otras que requieran un análisis sigiloso y confidencial del juzgador.   </w:t>
      </w:r>
    </w:p>
    <w:p w:rsidR="003934C5" w:rsidRPr="001C3BD8" w:rsidRDefault="003934C5" w:rsidP="003934C5">
      <w:pPr>
        <w:pStyle w:val="Prrafodelista"/>
        <w:spacing w:before="240" w:after="0" w:line="240" w:lineRule="auto"/>
        <w:ind w:left="360" w:right="49"/>
        <w:jc w:val="both"/>
        <w:rPr>
          <w:rFonts w:ascii="Palatino Linotype" w:hAnsi="Palatino Linotype" w:cs="Arial"/>
          <w:sz w:val="24"/>
          <w:szCs w:val="24"/>
          <w:lang w:val="es-ES_tradnl"/>
        </w:rPr>
      </w:pPr>
    </w:p>
    <w:p w:rsidR="00440A94" w:rsidRDefault="00440A94" w:rsidP="00440A94">
      <w:pPr>
        <w:pStyle w:val="Prrafodelista"/>
        <w:numPr>
          <w:ilvl w:val="0"/>
          <w:numId w:val="1"/>
        </w:numPr>
        <w:spacing w:before="240" w:after="0" w:line="360" w:lineRule="auto"/>
        <w:ind w:right="49"/>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t>Es necesario señalar que el Derecho de Acceso a la Información (DAI), tiene una justificación clara y precisa que se deriva de un aspecto de singular importancia, ya que lo que tratamos y pretendemos resolver consiste en el ejercicio de un derecho humano constitucional y convencionalmente reconocido.</w:t>
      </w:r>
    </w:p>
    <w:p w:rsidR="00440A94" w:rsidRPr="001C3BD8" w:rsidRDefault="00440A94" w:rsidP="003934C5">
      <w:pPr>
        <w:pStyle w:val="Prrafodelista"/>
        <w:spacing w:before="240" w:after="0" w:line="240" w:lineRule="auto"/>
        <w:ind w:left="360" w:right="49"/>
        <w:jc w:val="both"/>
        <w:rPr>
          <w:rFonts w:ascii="Palatino Linotype" w:hAnsi="Palatino Linotype" w:cs="Arial"/>
          <w:sz w:val="24"/>
          <w:szCs w:val="24"/>
          <w:lang w:val="es-ES_tradnl"/>
        </w:rPr>
      </w:pPr>
    </w:p>
    <w:p w:rsidR="00440A94" w:rsidRPr="001C3BD8" w:rsidRDefault="00440A94" w:rsidP="00440A94">
      <w:pPr>
        <w:pStyle w:val="Prrafodelista"/>
        <w:numPr>
          <w:ilvl w:val="0"/>
          <w:numId w:val="1"/>
        </w:numPr>
        <w:spacing w:before="240" w:after="0" w:line="360" w:lineRule="auto"/>
        <w:ind w:right="49"/>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t xml:space="preserve">Por tanto, al tratar directamente con un derecho humano, todas las autoridades nos vemos impuestas del supremo mandato constitucional consistente en la promoción, respeto, protección y </w:t>
      </w:r>
      <w:r w:rsidRPr="001C3BD8">
        <w:rPr>
          <w:rFonts w:ascii="Palatino Linotype" w:hAnsi="Palatino Linotype" w:cs="Arial"/>
          <w:b/>
          <w:sz w:val="24"/>
          <w:szCs w:val="24"/>
          <w:lang w:val="es-ES_tradnl"/>
        </w:rPr>
        <w:t>garantía de los derechos humanos</w:t>
      </w:r>
      <w:r w:rsidRPr="001C3BD8">
        <w:rPr>
          <w:rFonts w:ascii="Palatino Linotype" w:hAnsi="Palatino Linotype" w:cs="Arial"/>
          <w:sz w:val="24"/>
          <w:szCs w:val="24"/>
          <w:lang w:val="es-ES_tradnl"/>
        </w:rPr>
        <w:t xml:space="preserve">, de tal forma que cualquier esfuerzo que se haga en el sentido de cumplir con dicho </w:t>
      </w:r>
      <w:r w:rsidRPr="001C3BD8">
        <w:rPr>
          <w:rFonts w:ascii="Palatino Linotype" w:hAnsi="Palatino Linotype" w:cs="Arial"/>
          <w:sz w:val="24"/>
          <w:szCs w:val="24"/>
          <w:lang w:val="es-ES_tradnl"/>
        </w:rPr>
        <w:lastRenderedPageBreak/>
        <w:t>mandato no resulta ocioso ni sobra sino demuestra el grado de compromiso de la autoridad con este aspecto toral de la reforma constitucional del 10 de junio de 2011.</w:t>
      </w:r>
    </w:p>
    <w:p w:rsidR="00440A94" w:rsidRPr="001C3BD8" w:rsidRDefault="00440A94" w:rsidP="00440A94">
      <w:pPr>
        <w:pStyle w:val="Prrafodelista"/>
        <w:spacing w:before="240" w:after="240" w:line="240" w:lineRule="auto"/>
        <w:ind w:left="0" w:right="49"/>
        <w:jc w:val="both"/>
        <w:rPr>
          <w:rFonts w:ascii="Palatino Linotype" w:hAnsi="Palatino Linotype" w:cs="Arial"/>
          <w:sz w:val="24"/>
          <w:szCs w:val="24"/>
          <w:lang w:val="es-ES_tradnl"/>
        </w:rPr>
      </w:pPr>
    </w:p>
    <w:p w:rsidR="00440A94" w:rsidRPr="001C3BD8" w:rsidRDefault="00440A94" w:rsidP="007B476C">
      <w:pPr>
        <w:pStyle w:val="Prrafodelista"/>
        <w:numPr>
          <w:ilvl w:val="0"/>
          <w:numId w:val="1"/>
        </w:numPr>
        <w:spacing w:before="240" w:after="0" w:line="360" w:lineRule="auto"/>
        <w:ind w:right="49"/>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t xml:space="preserve">En este sentido el Dr. Miguel Carbonell ha señalado que: “Queda claro, en consecuencia, que las obligaciones de promoción, respeto, protección y garantía de los derechos corren a cargo de todos los poderes, incluso </w:t>
      </w:r>
      <w:r w:rsidRPr="001C3BD8">
        <w:rPr>
          <w:rFonts w:ascii="Palatino Linotype" w:hAnsi="Palatino Linotype" w:cs="Arial"/>
          <w:b/>
          <w:sz w:val="24"/>
          <w:szCs w:val="24"/>
          <w:lang w:val="es-ES_tradnl"/>
        </w:rPr>
        <w:t>considerando que algún nivel de gobierno tenga obligaciones reforzadas hacia ciertos derechos.</w:t>
      </w:r>
      <w:r w:rsidRPr="001C3BD8">
        <w:rPr>
          <w:rFonts w:ascii="Palatino Linotype" w:hAnsi="Palatino Linotype" w:cs="Arial"/>
          <w:sz w:val="24"/>
          <w:szCs w:val="24"/>
          <w:lang w:val="es-ES_tradnl"/>
        </w:rPr>
        <w:t xml:space="preserve"> A partir de tales deberes generales, podemos afirmar que las autoridades de todos los niveles de gobierno también tienen la obligación positiva de </w:t>
      </w:r>
      <w:r w:rsidRPr="001C3BD8">
        <w:rPr>
          <w:rFonts w:ascii="Palatino Linotype" w:hAnsi="Palatino Linotype" w:cs="Arial"/>
          <w:b/>
          <w:sz w:val="24"/>
          <w:szCs w:val="24"/>
          <w:lang w:val="es-ES_tradnl"/>
        </w:rPr>
        <w:t>tomar todas las medidas que sean pertinentes para tutelar y hacer eficaz un derecho</w:t>
      </w:r>
      <w:r w:rsidRPr="001C3BD8">
        <w:rPr>
          <w:rFonts w:ascii="Palatino Linotype" w:hAnsi="Palatino Linotype" w:cs="Arial"/>
          <w:sz w:val="24"/>
          <w:szCs w:val="24"/>
          <w:lang w:val="es-ES_tradnl"/>
        </w:rPr>
        <w:t>”.</w:t>
      </w:r>
      <w:r w:rsidRPr="001C3BD8">
        <w:rPr>
          <w:rStyle w:val="Refdenotaalpie"/>
          <w:rFonts w:ascii="Palatino Linotype" w:hAnsi="Palatino Linotype" w:cs="Arial"/>
          <w:sz w:val="24"/>
          <w:szCs w:val="24"/>
          <w:lang w:val="es-ES_tradnl"/>
        </w:rPr>
        <w:footnoteReference w:id="1"/>
      </w:r>
    </w:p>
    <w:p w:rsidR="00440A94" w:rsidRPr="001C3BD8" w:rsidRDefault="00440A94" w:rsidP="00440A94">
      <w:pPr>
        <w:pStyle w:val="Prrafodelista"/>
        <w:spacing w:line="240" w:lineRule="auto"/>
        <w:ind w:left="0"/>
        <w:jc w:val="both"/>
        <w:rPr>
          <w:rFonts w:ascii="Palatino Linotype" w:hAnsi="Palatino Linotype" w:cs="Arial"/>
          <w:sz w:val="24"/>
          <w:szCs w:val="24"/>
          <w:lang w:val="es-ES_tradnl"/>
        </w:rPr>
      </w:pPr>
    </w:p>
    <w:p w:rsidR="00440A94" w:rsidRPr="001C3BD8" w:rsidRDefault="00440A94" w:rsidP="007B476C">
      <w:pPr>
        <w:pStyle w:val="Prrafodelista"/>
        <w:numPr>
          <w:ilvl w:val="0"/>
          <w:numId w:val="1"/>
        </w:numPr>
        <w:spacing w:before="240" w:after="0" w:line="360" w:lineRule="auto"/>
        <w:ind w:right="49"/>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t xml:space="preserve">Al tenor de lo anterior, y al ser el Instituto de Transparencia y Acceso a la Información, la autoridad protectora de tal derecho reconocido en diversas normatividades, el que suscribe dicho voto no se percató del cumplimiento de la facultad consagrada en la ley de la materia en su artículo 185, fracción V,  donde a la letra refiere que: </w:t>
      </w:r>
    </w:p>
    <w:p w:rsidR="00440A94" w:rsidRPr="001C3BD8" w:rsidRDefault="00440A94" w:rsidP="00440A94">
      <w:pPr>
        <w:pStyle w:val="Prrafodelista"/>
        <w:spacing w:line="360" w:lineRule="auto"/>
        <w:ind w:left="360"/>
        <w:jc w:val="both"/>
        <w:rPr>
          <w:rFonts w:ascii="Palatino Linotype" w:hAnsi="Palatino Linotype" w:cs="Arial"/>
          <w:sz w:val="24"/>
          <w:szCs w:val="24"/>
          <w:lang w:val="es-ES_tradnl"/>
        </w:rPr>
      </w:pPr>
    </w:p>
    <w:p w:rsidR="00440A94" w:rsidRPr="001C3BD8" w:rsidRDefault="00440A94" w:rsidP="00440A94">
      <w:pPr>
        <w:pStyle w:val="Prrafodelista"/>
        <w:spacing w:line="360" w:lineRule="auto"/>
        <w:ind w:left="851" w:right="616"/>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t>“Artículo 185. El instituto resolverá el recurso de revisión conforme a lo siguiente:</w:t>
      </w:r>
    </w:p>
    <w:p w:rsidR="00440A94" w:rsidRPr="001C3BD8" w:rsidRDefault="00440A94" w:rsidP="00440A94">
      <w:pPr>
        <w:pStyle w:val="Prrafodelista"/>
        <w:spacing w:line="360" w:lineRule="auto"/>
        <w:ind w:left="851" w:right="616"/>
        <w:jc w:val="both"/>
        <w:rPr>
          <w:rFonts w:ascii="Palatino Linotype" w:hAnsi="Palatino Linotype" w:cs="Arial"/>
          <w:sz w:val="24"/>
          <w:szCs w:val="24"/>
          <w:lang w:val="es-ES_tradnl"/>
        </w:rPr>
      </w:pPr>
      <w:r>
        <w:rPr>
          <w:rFonts w:ascii="Palatino Linotype" w:hAnsi="Palatino Linotype" w:cs="Arial"/>
          <w:sz w:val="24"/>
          <w:szCs w:val="24"/>
          <w:lang w:val="es-ES_tradnl"/>
        </w:rPr>
        <w:lastRenderedPageBreak/>
        <w:t>…</w:t>
      </w:r>
    </w:p>
    <w:p w:rsidR="00440A94" w:rsidRPr="001C3BD8" w:rsidRDefault="00440A94" w:rsidP="00440A94">
      <w:pPr>
        <w:pStyle w:val="Prrafodelista"/>
        <w:spacing w:line="360" w:lineRule="auto"/>
        <w:ind w:left="851" w:right="616"/>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t xml:space="preserve">V. La o el Comisionado ponente podrá determinar la celebración de audiencias con las partes durante la sustanciación del proceso. </w:t>
      </w:r>
    </w:p>
    <w:p w:rsidR="00440A94" w:rsidRPr="001C3BD8" w:rsidRDefault="00440A94" w:rsidP="00440A94">
      <w:pPr>
        <w:pStyle w:val="Prrafodelista"/>
        <w:spacing w:line="360" w:lineRule="auto"/>
        <w:ind w:left="851" w:right="616"/>
        <w:jc w:val="both"/>
        <w:rPr>
          <w:rFonts w:ascii="Palatino Linotype" w:hAnsi="Palatino Linotype" w:cs="Arial"/>
          <w:sz w:val="24"/>
          <w:szCs w:val="24"/>
          <w:lang w:val="es-ES_tradnl"/>
        </w:rPr>
      </w:pPr>
      <w:r>
        <w:rPr>
          <w:rFonts w:ascii="Palatino Linotype" w:hAnsi="Palatino Linotype" w:cs="Arial"/>
          <w:sz w:val="24"/>
          <w:szCs w:val="24"/>
          <w:lang w:val="es-ES_tradnl"/>
        </w:rPr>
        <w:t>…</w:t>
      </w:r>
      <w:r w:rsidRPr="001C3BD8">
        <w:rPr>
          <w:rFonts w:ascii="Palatino Linotype" w:hAnsi="Palatino Linotype" w:cs="Arial"/>
          <w:sz w:val="24"/>
          <w:szCs w:val="24"/>
          <w:lang w:val="es-ES_tradnl"/>
        </w:rPr>
        <w:t>“</w:t>
      </w:r>
    </w:p>
    <w:p w:rsidR="00440A94" w:rsidRPr="001C3BD8" w:rsidRDefault="00440A94" w:rsidP="007B476C">
      <w:pPr>
        <w:pStyle w:val="Prrafodelista"/>
        <w:numPr>
          <w:ilvl w:val="0"/>
          <w:numId w:val="1"/>
        </w:numPr>
        <w:spacing w:before="240" w:after="0" w:line="360" w:lineRule="auto"/>
        <w:ind w:right="49"/>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t xml:space="preserve">En relación con lo anterior, considero que la </w:t>
      </w:r>
      <w:r w:rsidR="003934C5" w:rsidRPr="001C3BD8">
        <w:rPr>
          <w:rFonts w:ascii="Palatino Linotype" w:hAnsi="Palatino Linotype" w:cs="Arial"/>
          <w:sz w:val="24"/>
          <w:szCs w:val="24"/>
          <w:lang w:val="es-ES_tradnl"/>
        </w:rPr>
        <w:t xml:space="preserve">Ponencia </w:t>
      </w:r>
      <w:proofErr w:type="spellStart"/>
      <w:r w:rsidR="003934C5" w:rsidRPr="001C3BD8">
        <w:rPr>
          <w:rFonts w:ascii="Palatino Linotype" w:hAnsi="Palatino Linotype" w:cs="Arial"/>
          <w:sz w:val="24"/>
          <w:szCs w:val="24"/>
          <w:lang w:val="es-ES_tradnl"/>
        </w:rPr>
        <w:t>Resolutora</w:t>
      </w:r>
      <w:proofErr w:type="spellEnd"/>
      <w:r w:rsidR="003934C5" w:rsidRPr="001C3BD8">
        <w:rPr>
          <w:rFonts w:ascii="Palatino Linotype" w:hAnsi="Palatino Linotype" w:cs="Arial"/>
          <w:sz w:val="24"/>
          <w:szCs w:val="24"/>
          <w:lang w:val="es-ES_tradnl"/>
        </w:rPr>
        <w:t xml:space="preserve"> </w:t>
      </w:r>
      <w:r w:rsidRPr="001C3BD8">
        <w:rPr>
          <w:rFonts w:ascii="Palatino Linotype" w:hAnsi="Palatino Linotype" w:cs="Arial"/>
          <w:sz w:val="24"/>
          <w:szCs w:val="24"/>
          <w:lang w:val="es-ES_tradnl"/>
        </w:rPr>
        <w:t xml:space="preserve">debió de pronunciarse sobre la naturaleza de lo requerido sin ningún tipo de ambigüedad, es decir, tuvo que determinar si la información tenía el carácter de reserva o no, sin dejarlo al arbitrio del Sujeto Obligado, efectuando dicho análisis atendiendo a lo establecido en el artículo 182 de la ley en la materia, donde se señala que (…) los Comisionados deberán tener acceso a la información clasificada para determinar su naturaleza según se requiera. El acceso se dará de conformidad con la normatividad previamente establecida por los sujetos obligados para el resguardo o salvaguarda de la información a través de la celebración de audiencias como lo señalo en el párrafo que antecede, todo esto con el propósito de dar mayor certeza a la resolución dictada o por el contrario conocer fehacientemente si la información en posesión del Sujeto Obligado es susceptible de reservarse. </w:t>
      </w:r>
    </w:p>
    <w:p w:rsidR="00440A94" w:rsidRPr="001C3BD8" w:rsidRDefault="00440A94" w:rsidP="003934C5">
      <w:pPr>
        <w:pStyle w:val="Prrafodelista"/>
        <w:spacing w:after="0" w:line="240" w:lineRule="auto"/>
        <w:ind w:left="1080"/>
        <w:jc w:val="both"/>
        <w:rPr>
          <w:rFonts w:ascii="Palatino Linotype" w:hAnsi="Palatino Linotype"/>
          <w:b/>
          <w:sz w:val="24"/>
          <w:szCs w:val="24"/>
          <w:lang w:val="es-ES_tradnl"/>
        </w:rPr>
      </w:pPr>
    </w:p>
    <w:p w:rsidR="00440A94" w:rsidRPr="001C3BD8" w:rsidRDefault="00440A94" w:rsidP="00440A94">
      <w:pPr>
        <w:pStyle w:val="Prrafodelista"/>
        <w:numPr>
          <w:ilvl w:val="0"/>
          <w:numId w:val="1"/>
        </w:numPr>
        <w:spacing w:line="360" w:lineRule="auto"/>
        <w:jc w:val="both"/>
        <w:rPr>
          <w:rFonts w:ascii="Palatino Linotype" w:hAnsi="Palatino Linotype" w:cs="Arial"/>
          <w:sz w:val="24"/>
          <w:szCs w:val="24"/>
          <w:lang w:val="es-ES_tradnl"/>
        </w:rPr>
      </w:pPr>
      <w:r w:rsidRPr="001C3BD8">
        <w:rPr>
          <w:rFonts w:ascii="Palatino Linotype" w:hAnsi="Palatino Linotype"/>
          <w:sz w:val="24"/>
          <w:szCs w:val="24"/>
          <w:lang w:val="es-ES_tradnl"/>
        </w:rPr>
        <w:t>La Ley en la materia nos establece que la clasificación total o parcial de la información requerida, mediante solicitud de acceso a la información pública serán los</w:t>
      </w:r>
      <w:r w:rsidRPr="001C3BD8">
        <w:rPr>
          <w:rFonts w:ascii="Palatino Linotype" w:hAnsi="Palatino Linotype" w:cs="Arial"/>
          <w:sz w:val="24"/>
          <w:szCs w:val="24"/>
          <w:lang w:val="es-ES_tradnl"/>
        </w:rPr>
        <w:t xml:space="preserve"> sujetos obligados quienes determinaran que la información actualiza alguno de los supuestos de clasificación y que son los titulares de las áreas los encargados de clasificar la información; en consecuencia, son los titulares de las </w:t>
      </w:r>
      <w:r w:rsidRPr="001C3BD8">
        <w:rPr>
          <w:rFonts w:ascii="Palatino Linotype" w:hAnsi="Palatino Linotype" w:cs="Arial"/>
          <w:sz w:val="24"/>
          <w:szCs w:val="24"/>
          <w:lang w:val="es-ES_tradnl"/>
        </w:rPr>
        <w:lastRenderedPageBreak/>
        <w:t>áreas que administran la información los que aprueban su clasificación y no el Comité de Transparencia.</w:t>
      </w:r>
    </w:p>
    <w:p w:rsidR="00440A94" w:rsidRPr="001C3BD8" w:rsidRDefault="00440A94" w:rsidP="00440A94">
      <w:pPr>
        <w:pStyle w:val="Prrafodelista"/>
        <w:spacing w:line="240" w:lineRule="auto"/>
        <w:ind w:left="360"/>
        <w:jc w:val="both"/>
        <w:rPr>
          <w:rFonts w:ascii="Palatino Linotype" w:hAnsi="Palatino Linotype" w:cs="Arial"/>
          <w:sz w:val="24"/>
          <w:szCs w:val="24"/>
          <w:lang w:val="es-ES_tradnl"/>
        </w:rPr>
      </w:pPr>
    </w:p>
    <w:p w:rsidR="00440A94" w:rsidRPr="001C3BD8" w:rsidRDefault="00440A94" w:rsidP="00440A94">
      <w:pPr>
        <w:pStyle w:val="Prrafodelista"/>
        <w:numPr>
          <w:ilvl w:val="0"/>
          <w:numId w:val="1"/>
        </w:numPr>
        <w:spacing w:line="360" w:lineRule="auto"/>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t xml:space="preserve">En esa tesitura, es importante señalar que para acreditar la reserva de la información, es necesario que se actualicen los siguientes requisitos: </w:t>
      </w:r>
    </w:p>
    <w:p w:rsidR="00440A94" w:rsidRPr="001C3BD8" w:rsidRDefault="00440A94" w:rsidP="00440A94">
      <w:pPr>
        <w:pStyle w:val="Prrafodelista"/>
        <w:numPr>
          <w:ilvl w:val="0"/>
          <w:numId w:val="37"/>
        </w:numPr>
        <w:spacing w:line="360" w:lineRule="auto"/>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t>La existencia de un juicio o procedimiento administrativo materialmente jurisdiccional.</w:t>
      </w:r>
    </w:p>
    <w:p w:rsidR="00440A94" w:rsidRPr="001C3BD8" w:rsidRDefault="00440A94" w:rsidP="00440A94">
      <w:pPr>
        <w:pStyle w:val="Prrafodelista"/>
        <w:numPr>
          <w:ilvl w:val="0"/>
          <w:numId w:val="37"/>
        </w:numPr>
        <w:spacing w:line="360" w:lineRule="auto"/>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t xml:space="preserve">Que el juicio se encuentre en trámite, es decir, que no haya causado estado. </w:t>
      </w:r>
    </w:p>
    <w:p w:rsidR="00440A94" w:rsidRPr="001C3BD8" w:rsidRDefault="00440A94" w:rsidP="00440A94">
      <w:pPr>
        <w:pStyle w:val="Prrafodelista"/>
        <w:numPr>
          <w:ilvl w:val="0"/>
          <w:numId w:val="37"/>
        </w:numPr>
        <w:spacing w:line="360" w:lineRule="auto"/>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t xml:space="preserve">El vínculo entre la información solicitada y el procedimiento judicial de que se trate. </w:t>
      </w:r>
    </w:p>
    <w:p w:rsidR="00440A94" w:rsidRPr="001C3BD8" w:rsidRDefault="00440A94" w:rsidP="00440A94">
      <w:pPr>
        <w:pStyle w:val="Prrafodelista"/>
        <w:numPr>
          <w:ilvl w:val="0"/>
          <w:numId w:val="37"/>
        </w:numPr>
        <w:spacing w:line="360" w:lineRule="auto"/>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t xml:space="preserve">Que la difusión de la información pueda causar un daño y/o perjuicio a las atribuciones del Tribunal durante el juicio; es decir, que el contenido de la información vulnere, impida u obstruya los procedimientos que se ventilan. </w:t>
      </w:r>
    </w:p>
    <w:p w:rsidR="00440A94" w:rsidRPr="001C3BD8" w:rsidRDefault="00440A94" w:rsidP="00440A94">
      <w:pPr>
        <w:pStyle w:val="Prrafodelista"/>
        <w:spacing w:line="240" w:lineRule="auto"/>
        <w:jc w:val="both"/>
        <w:rPr>
          <w:rFonts w:ascii="Palatino Linotype" w:hAnsi="Palatino Linotype" w:cs="Arial"/>
          <w:sz w:val="24"/>
          <w:szCs w:val="24"/>
          <w:lang w:val="es-ES_tradnl"/>
        </w:rPr>
      </w:pPr>
    </w:p>
    <w:p w:rsidR="00440A94" w:rsidRPr="001C3BD8" w:rsidRDefault="003934C5" w:rsidP="00440A94">
      <w:pPr>
        <w:pStyle w:val="Prrafodelista"/>
        <w:numPr>
          <w:ilvl w:val="0"/>
          <w:numId w:val="1"/>
        </w:numPr>
        <w:spacing w:line="360" w:lineRule="auto"/>
        <w:jc w:val="both"/>
        <w:rPr>
          <w:rFonts w:ascii="Palatino Linotype" w:hAnsi="Palatino Linotype" w:cs="Arial"/>
          <w:sz w:val="24"/>
          <w:szCs w:val="24"/>
          <w:lang w:val="es-ES_tradnl"/>
        </w:rPr>
      </w:pPr>
      <w:r>
        <w:rPr>
          <w:rFonts w:ascii="Palatino Linotype" w:hAnsi="Palatino Linotype" w:cs="Arial"/>
          <w:sz w:val="24"/>
          <w:szCs w:val="24"/>
          <w:lang w:val="es-ES_tradnl"/>
        </w:rPr>
        <w:t xml:space="preserve">Por consiguiente y ante la omisión del sujeto Obligado, la Ponencia </w:t>
      </w:r>
      <w:proofErr w:type="spellStart"/>
      <w:r>
        <w:rPr>
          <w:rFonts w:ascii="Palatino Linotype" w:hAnsi="Palatino Linotype" w:cs="Arial"/>
          <w:sz w:val="24"/>
          <w:szCs w:val="24"/>
          <w:lang w:val="es-ES_tradnl"/>
        </w:rPr>
        <w:t>Resolutora</w:t>
      </w:r>
      <w:proofErr w:type="spellEnd"/>
      <w:r>
        <w:rPr>
          <w:rFonts w:ascii="Palatino Linotype" w:hAnsi="Palatino Linotype" w:cs="Arial"/>
          <w:sz w:val="24"/>
          <w:szCs w:val="24"/>
          <w:lang w:val="es-ES_tradnl"/>
        </w:rPr>
        <w:t xml:space="preserve"> </w:t>
      </w:r>
      <w:r w:rsidR="00EF2367">
        <w:rPr>
          <w:rFonts w:ascii="Palatino Linotype" w:hAnsi="Palatino Linotype" w:cs="Arial"/>
          <w:sz w:val="24"/>
          <w:szCs w:val="24"/>
          <w:lang w:val="es-ES_tradnl"/>
        </w:rPr>
        <w:t>debió</w:t>
      </w:r>
      <w:r w:rsidR="00440A94" w:rsidRPr="001C3BD8">
        <w:rPr>
          <w:rFonts w:ascii="Palatino Linotype" w:hAnsi="Palatino Linotype" w:cs="Arial"/>
          <w:sz w:val="24"/>
          <w:szCs w:val="24"/>
          <w:lang w:val="es-ES_tradnl"/>
        </w:rPr>
        <w:t xml:space="preserve"> de analizar cada uno de los requisitos anteriormente señalados, con la finalidad de determinar si se configura la hipótesis de reserva. </w:t>
      </w:r>
    </w:p>
    <w:p w:rsidR="00440A94" w:rsidRPr="001C3BD8" w:rsidRDefault="00440A94" w:rsidP="00440A94">
      <w:pPr>
        <w:pStyle w:val="Prrafodelista"/>
        <w:spacing w:line="240" w:lineRule="auto"/>
        <w:ind w:left="360"/>
        <w:jc w:val="both"/>
        <w:rPr>
          <w:rFonts w:ascii="Palatino Linotype" w:hAnsi="Palatino Linotype" w:cs="Arial"/>
          <w:sz w:val="24"/>
          <w:szCs w:val="24"/>
          <w:lang w:val="es-ES_tradnl"/>
        </w:rPr>
      </w:pPr>
    </w:p>
    <w:p w:rsidR="00440A94" w:rsidRDefault="00440A94" w:rsidP="00440A94">
      <w:pPr>
        <w:pStyle w:val="Prrafodelista"/>
        <w:numPr>
          <w:ilvl w:val="0"/>
          <w:numId w:val="1"/>
        </w:numPr>
        <w:spacing w:line="360" w:lineRule="auto"/>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t xml:space="preserve">Ya que si bien, el derecho de acceso a la información no es absoluto, también lo es que los particulares tienen derecho a acceder a información pública, y específicamente cuanto se trate de reservar la información, el Sujeto Obligado </w:t>
      </w:r>
      <w:r w:rsidRPr="001C3BD8">
        <w:rPr>
          <w:rFonts w:ascii="Palatino Linotype" w:hAnsi="Palatino Linotype" w:cs="Arial"/>
          <w:sz w:val="24"/>
          <w:szCs w:val="24"/>
          <w:lang w:val="es-ES_tradnl"/>
        </w:rPr>
        <w:lastRenderedPageBreak/>
        <w:t xml:space="preserve">deberá de corroborar que se actualice alguno de los supuestos anteriormente señalados, ya que su difusión puede dar cabal atención al citado derecho pero también es dar a conocer el antecedente y/o cronología de un asunto en particular que se requiere. </w:t>
      </w:r>
    </w:p>
    <w:p w:rsidR="00440A94" w:rsidRPr="00BC10BD" w:rsidRDefault="00440A94" w:rsidP="00440A94">
      <w:pPr>
        <w:pStyle w:val="Prrafodelista"/>
        <w:rPr>
          <w:rFonts w:ascii="Palatino Linotype" w:hAnsi="Palatino Linotype" w:cs="Arial"/>
          <w:sz w:val="24"/>
          <w:szCs w:val="24"/>
          <w:lang w:val="es-ES_tradnl"/>
        </w:rPr>
      </w:pPr>
    </w:p>
    <w:p w:rsidR="00440A94" w:rsidRPr="0019521B" w:rsidRDefault="00440A94" w:rsidP="00440A94">
      <w:pPr>
        <w:pStyle w:val="Prrafodelista"/>
        <w:numPr>
          <w:ilvl w:val="0"/>
          <w:numId w:val="1"/>
        </w:numPr>
        <w:spacing w:line="360" w:lineRule="auto"/>
        <w:jc w:val="both"/>
        <w:rPr>
          <w:rFonts w:ascii="Palatino Linotype" w:hAnsi="Palatino Linotype" w:cs="Arial"/>
          <w:sz w:val="24"/>
          <w:szCs w:val="24"/>
          <w:lang w:val="es-ES_tradnl"/>
        </w:rPr>
      </w:pPr>
      <w:r w:rsidRPr="0019521B">
        <w:rPr>
          <w:rFonts w:ascii="Palatino Linotype" w:hAnsi="Palatino Linotype" w:cs="Arial"/>
          <w:sz w:val="24"/>
          <w:szCs w:val="24"/>
          <w:lang w:val="es-ES_tradnl"/>
        </w:rPr>
        <w:t xml:space="preserve">Finalmente, es importante destacar que en este caso, se </w:t>
      </w:r>
      <w:r>
        <w:rPr>
          <w:rFonts w:ascii="Palatino Linotype" w:hAnsi="Palatino Linotype" w:cs="Arial"/>
          <w:sz w:val="24"/>
          <w:szCs w:val="24"/>
          <w:lang w:val="es-ES_tradnl"/>
        </w:rPr>
        <w:t>emitió</w:t>
      </w:r>
      <w:r w:rsidRPr="0019521B">
        <w:rPr>
          <w:rFonts w:ascii="Palatino Linotype" w:hAnsi="Palatino Linotype" w:cs="Arial"/>
          <w:sz w:val="24"/>
          <w:szCs w:val="24"/>
          <w:lang w:val="es-ES_tradnl"/>
        </w:rPr>
        <w:t xml:space="preserve"> un voto particular derivado de la naturaleza del mismo, ya que </w:t>
      </w:r>
      <w:r w:rsidR="003934C5">
        <w:rPr>
          <w:rFonts w:ascii="Palatino Linotype" w:hAnsi="Palatino Linotype" w:cs="Arial"/>
          <w:sz w:val="24"/>
          <w:szCs w:val="24"/>
          <w:lang w:val="es-ES_tradnl"/>
        </w:rPr>
        <w:t>fue</w:t>
      </w:r>
      <w:r w:rsidRPr="0019521B">
        <w:rPr>
          <w:rFonts w:ascii="Palatino Linotype" w:hAnsi="Palatino Linotype" w:cs="Arial"/>
          <w:sz w:val="24"/>
          <w:szCs w:val="24"/>
          <w:lang w:val="es-ES_tradnl"/>
        </w:rPr>
        <w:t xml:space="preserve"> necesario que</w:t>
      </w:r>
      <w:r w:rsidR="003934C5">
        <w:rPr>
          <w:rFonts w:ascii="Palatino Linotype" w:hAnsi="Palatino Linotype" w:cs="Arial"/>
          <w:sz w:val="24"/>
          <w:szCs w:val="24"/>
          <w:lang w:val="es-ES_tradnl"/>
        </w:rPr>
        <w:t xml:space="preserve"> ante la omisión de</w:t>
      </w:r>
      <w:r w:rsidRPr="0019521B">
        <w:rPr>
          <w:rFonts w:ascii="Palatino Linotype" w:hAnsi="Palatino Linotype" w:cs="Arial"/>
          <w:sz w:val="24"/>
          <w:szCs w:val="24"/>
          <w:lang w:val="es-ES_tradnl"/>
        </w:rPr>
        <w:t xml:space="preserve"> Sujeto Obligado</w:t>
      </w:r>
      <w:r w:rsidR="003934C5">
        <w:rPr>
          <w:rFonts w:ascii="Palatino Linotype" w:hAnsi="Palatino Linotype" w:cs="Arial"/>
          <w:sz w:val="24"/>
          <w:szCs w:val="24"/>
          <w:lang w:val="es-ES_tradnl"/>
        </w:rPr>
        <w:t xml:space="preserve">, quien debió de analizar y determinar </w:t>
      </w:r>
      <w:r w:rsidRPr="0019521B">
        <w:rPr>
          <w:rFonts w:ascii="Palatino Linotype" w:hAnsi="Palatino Linotype" w:cs="Arial"/>
          <w:sz w:val="24"/>
          <w:szCs w:val="24"/>
          <w:lang w:val="es-ES_tradnl"/>
        </w:rPr>
        <w:t xml:space="preserve">si la información se debe de clasificarse o no, con base en las características de los documentos y si cumple y actualiza las hipótesis </w:t>
      </w:r>
      <w:r>
        <w:rPr>
          <w:rFonts w:ascii="Palatino Linotype" w:hAnsi="Palatino Linotype" w:cs="Arial"/>
          <w:sz w:val="24"/>
          <w:szCs w:val="24"/>
          <w:lang w:val="es-ES_tradnl"/>
        </w:rPr>
        <w:t xml:space="preserve">para </w:t>
      </w:r>
      <w:r w:rsidRPr="0019521B">
        <w:rPr>
          <w:rFonts w:ascii="Palatino Linotype" w:hAnsi="Palatino Linotype" w:cs="Arial"/>
          <w:sz w:val="24"/>
          <w:szCs w:val="24"/>
          <w:lang w:val="es-ES_tradnl"/>
        </w:rPr>
        <w:t>acreditar la reserva de la información</w:t>
      </w:r>
      <w:r w:rsidR="003934C5">
        <w:rPr>
          <w:rFonts w:ascii="Palatino Linotype" w:hAnsi="Palatino Linotype" w:cs="Arial"/>
          <w:sz w:val="24"/>
          <w:szCs w:val="24"/>
          <w:lang w:val="es-ES_tradnl"/>
        </w:rPr>
        <w:t xml:space="preserve">, sería la Ponencia </w:t>
      </w:r>
      <w:proofErr w:type="spellStart"/>
      <w:r w:rsidR="003934C5">
        <w:rPr>
          <w:rFonts w:ascii="Palatino Linotype" w:hAnsi="Palatino Linotype" w:cs="Arial"/>
          <w:sz w:val="24"/>
          <w:szCs w:val="24"/>
          <w:lang w:val="es-ES_tradnl"/>
        </w:rPr>
        <w:t>Resolutora</w:t>
      </w:r>
      <w:proofErr w:type="spellEnd"/>
      <w:r w:rsidR="00A76109">
        <w:rPr>
          <w:rFonts w:ascii="Palatino Linotype" w:hAnsi="Palatino Linotype" w:cs="Arial"/>
          <w:sz w:val="24"/>
          <w:szCs w:val="24"/>
          <w:lang w:val="es-ES_tradnl"/>
        </w:rPr>
        <w:t xml:space="preserve">; además de indicarle al Sujeto </w:t>
      </w:r>
      <w:proofErr w:type="spellStart"/>
      <w:r w:rsidR="00A76109">
        <w:rPr>
          <w:rFonts w:ascii="Palatino Linotype" w:hAnsi="Palatino Linotype" w:cs="Arial"/>
          <w:sz w:val="24"/>
          <w:szCs w:val="24"/>
          <w:lang w:val="es-ES_tradnl"/>
        </w:rPr>
        <w:t>Obligalo</w:t>
      </w:r>
      <w:proofErr w:type="spellEnd"/>
      <w:r w:rsidR="00A76109">
        <w:rPr>
          <w:rFonts w:ascii="Palatino Linotype" w:hAnsi="Palatino Linotype" w:cs="Arial"/>
          <w:sz w:val="24"/>
          <w:szCs w:val="24"/>
          <w:lang w:val="es-ES_tradnl"/>
        </w:rPr>
        <w:t xml:space="preserve"> las causales que le aplican para que realice su acuerdo de reserva </w:t>
      </w:r>
    </w:p>
    <w:p w:rsidR="00440A94" w:rsidRDefault="00440A94" w:rsidP="00DA52E0">
      <w:pPr>
        <w:spacing w:after="0" w:line="360" w:lineRule="auto"/>
        <w:ind w:left="720"/>
        <w:contextualSpacing/>
        <w:jc w:val="both"/>
        <w:rPr>
          <w:rFonts w:ascii="Palatino Linotype" w:hAnsi="Palatino Linotype" w:cs="Arial"/>
          <w:color w:val="000000" w:themeColor="text1"/>
          <w:sz w:val="24"/>
          <w:szCs w:val="24"/>
        </w:rPr>
      </w:pPr>
    </w:p>
    <w:p w:rsidR="00DA52E0" w:rsidRDefault="00DA52E0" w:rsidP="00DA52E0">
      <w:pPr>
        <w:spacing w:after="0" w:line="360" w:lineRule="auto"/>
        <w:contextualSpacing/>
        <w:jc w:val="both"/>
        <w:rPr>
          <w:rFonts w:ascii="Palatino Linotype" w:hAnsi="Palatino Linotype" w:cs="Arial"/>
          <w:color w:val="000000" w:themeColor="text1"/>
          <w:szCs w:val="24"/>
        </w:rPr>
      </w:pPr>
    </w:p>
    <w:p w:rsidR="00F35084" w:rsidRPr="006B5B33" w:rsidRDefault="00F35084" w:rsidP="00DA52E0">
      <w:pPr>
        <w:spacing w:after="0" w:line="360" w:lineRule="auto"/>
        <w:contextualSpacing/>
        <w:jc w:val="both"/>
        <w:rPr>
          <w:rFonts w:ascii="Palatino Linotype" w:hAnsi="Palatino Linotype" w:cs="Arial"/>
          <w:color w:val="000000" w:themeColor="text1"/>
          <w:szCs w:val="24"/>
        </w:rPr>
      </w:pPr>
    </w:p>
    <w:p w:rsidR="00DA52E0" w:rsidRPr="004F0E90" w:rsidRDefault="00DA52E0" w:rsidP="00DA52E0">
      <w:pPr>
        <w:spacing w:line="360" w:lineRule="auto"/>
        <w:jc w:val="center"/>
        <w:rPr>
          <w:rFonts w:ascii="Palatino Linotype" w:eastAsia="Calibri" w:hAnsi="Palatino Linotype" w:cs="Arial"/>
          <w:b/>
          <w:color w:val="000000" w:themeColor="text1"/>
          <w:sz w:val="24"/>
          <w:szCs w:val="24"/>
        </w:rPr>
      </w:pPr>
      <w:r w:rsidRPr="004F0E90">
        <w:rPr>
          <w:rFonts w:ascii="Palatino Linotype" w:eastAsia="Calibri" w:hAnsi="Palatino Linotype" w:cs="Arial"/>
          <w:b/>
          <w:color w:val="000000" w:themeColor="text1"/>
          <w:sz w:val="24"/>
          <w:szCs w:val="24"/>
        </w:rPr>
        <w:t>JOSÉ GUADALUPE LUNA HERNÁNDEZ</w:t>
      </w:r>
    </w:p>
    <w:p w:rsidR="00DA52E0" w:rsidRDefault="00DA52E0" w:rsidP="00DA52E0">
      <w:pPr>
        <w:spacing w:line="360" w:lineRule="auto"/>
        <w:jc w:val="center"/>
        <w:rPr>
          <w:rFonts w:ascii="Palatino Linotype" w:eastAsia="Calibri" w:hAnsi="Palatino Linotype" w:cs="Arial"/>
          <w:b/>
          <w:color w:val="000000" w:themeColor="text1"/>
          <w:sz w:val="24"/>
          <w:szCs w:val="24"/>
        </w:rPr>
      </w:pPr>
      <w:r w:rsidRPr="004F0E90">
        <w:rPr>
          <w:rFonts w:ascii="Palatino Linotype" w:eastAsia="Calibri" w:hAnsi="Palatino Linotype" w:cs="Arial"/>
          <w:b/>
          <w:color w:val="000000" w:themeColor="text1"/>
          <w:sz w:val="24"/>
          <w:szCs w:val="24"/>
        </w:rPr>
        <w:t>COMISIONADO</w:t>
      </w:r>
    </w:p>
    <w:p w:rsidR="00DA52E0" w:rsidRDefault="00DA52E0" w:rsidP="00DA52E0">
      <w:pPr>
        <w:spacing w:line="360" w:lineRule="auto"/>
        <w:jc w:val="center"/>
        <w:rPr>
          <w:rFonts w:ascii="Palatino Linotype" w:eastAsia="Calibri" w:hAnsi="Palatino Linotype" w:cs="Arial"/>
          <w:b/>
          <w:color w:val="000000" w:themeColor="text1"/>
          <w:sz w:val="24"/>
          <w:szCs w:val="24"/>
        </w:rPr>
      </w:pPr>
      <w:r>
        <w:rPr>
          <w:rFonts w:ascii="Palatino Linotype" w:eastAsia="Calibri" w:hAnsi="Palatino Linotype" w:cs="Arial"/>
          <w:b/>
          <w:color w:val="000000" w:themeColor="text1"/>
          <w:sz w:val="24"/>
          <w:szCs w:val="24"/>
        </w:rPr>
        <w:t>(Rúbrica)</w:t>
      </w:r>
    </w:p>
    <w:p w:rsidR="00DA52E0" w:rsidRDefault="00DA52E0" w:rsidP="00DA52E0">
      <w:pPr>
        <w:spacing w:line="360" w:lineRule="auto"/>
        <w:jc w:val="center"/>
        <w:rPr>
          <w:rFonts w:ascii="Palatino Linotype" w:eastAsia="Calibri" w:hAnsi="Palatino Linotype" w:cs="Arial"/>
          <w:b/>
          <w:color w:val="000000" w:themeColor="text1"/>
          <w:sz w:val="24"/>
          <w:szCs w:val="24"/>
        </w:rPr>
      </w:pPr>
    </w:p>
    <w:p w:rsidR="00DA52E0" w:rsidRPr="00A640C7" w:rsidRDefault="00DA52E0" w:rsidP="00DA52E0">
      <w:pPr>
        <w:spacing w:line="360" w:lineRule="auto"/>
        <w:rPr>
          <w:rFonts w:ascii="Palatino Linotype" w:hAnsi="Palatino Linotype"/>
          <w:b/>
          <w:sz w:val="24"/>
        </w:rPr>
      </w:pPr>
      <w:r>
        <w:rPr>
          <w:rFonts w:ascii="Palatino Linotype" w:eastAsia="Calibri" w:hAnsi="Palatino Linotype" w:cs="Arial"/>
          <w:b/>
          <w:color w:val="000000" w:themeColor="text1"/>
          <w:sz w:val="24"/>
          <w:szCs w:val="24"/>
        </w:rPr>
        <w:t>JGLH/MAG</w:t>
      </w:r>
    </w:p>
    <w:sectPr w:rsidR="00DA52E0" w:rsidRPr="00A640C7" w:rsidSect="00DA55B8">
      <w:headerReference w:type="even" r:id="rId8"/>
      <w:headerReference w:type="default" r:id="rId9"/>
      <w:footerReference w:type="even" r:id="rId10"/>
      <w:footerReference w:type="default" r:id="rId11"/>
      <w:headerReference w:type="first" r:id="rId12"/>
      <w:footerReference w:type="first" r:id="rId13"/>
      <w:pgSz w:w="12240" w:h="15840" w:code="1"/>
      <w:pgMar w:top="2410" w:right="1701" w:bottom="243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5FAD" w:rsidRDefault="003A5FAD" w:rsidP="00E706DA">
      <w:pPr>
        <w:spacing w:after="0" w:line="240" w:lineRule="auto"/>
      </w:pPr>
      <w:r>
        <w:separator/>
      </w:r>
    </w:p>
  </w:endnote>
  <w:endnote w:type="continuationSeparator" w:id="0">
    <w:p w:rsidR="003A5FAD" w:rsidRDefault="003A5FAD" w:rsidP="00E7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342A3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465616"/>
      <w:docPartObj>
        <w:docPartGallery w:val="Page Numbers (Bottom of Page)"/>
        <w:docPartUnique/>
      </w:docPartObj>
    </w:sdtPr>
    <w:sdtEndPr/>
    <w:sdtContent>
      <w:sdt>
        <w:sdtPr>
          <w:id w:val="1012499541"/>
          <w:docPartObj>
            <w:docPartGallery w:val="Page Numbers (Top of Page)"/>
            <w:docPartUnique/>
          </w:docPartObj>
        </w:sdtPr>
        <w:sdtEndPr/>
        <w:sdtContent>
          <w:p w:rsidR="0052203D" w:rsidRDefault="00073F0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342A35">
              <w:rPr>
                <w:rFonts w:ascii="Palatino Linotype" w:hAnsi="Palatino Linotype"/>
                <w:b/>
                <w:bCs/>
                <w:noProof/>
                <w:sz w:val="20"/>
                <w:szCs w:val="20"/>
              </w:rPr>
              <w:t>14</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342A35">
              <w:rPr>
                <w:rFonts w:ascii="Palatino Linotype" w:hAnsi="Palatino Linotype"/>
                <w:b/>
                <w:bCs/>
                <w:noProof/>
                <w:sz w:val="20"/>
                <w:szCs w:val="20"/>
              </w:rPr>
              <w:t>14</w:t>
            </w:r>
            <w:r w:rsidRPr="0052203D">
              <w:rPr>
                <w:rFonts w:ascii="Palatino Linotype" w:hAnsi="Palatino Linotype"/>
                <w:b/>
                <w:bCs/>
                <w:sz w:val="20"/>
                <w:szCs w:val="20"/>
              </w:rPr>
              <w:fldChar w:fldCharType="end"/>
            </w:r>
          </w:p>
        </w:sdtContent>
      </w:sdt>
    </w:sdtContent>
  </w:sdt>
  <w:p w:rsidR="00951E8B" w:rsidRDefault="00342A3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342A3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5FAD" w:rsidRDefault="003A5FAD" w:rsidP="00E706DA">
      <w:pPr>
        <w:spacing w:after="0" w:line="240" w:lineRule="auto"/>
      </w:pPr>
      <w:r>
        <w:separator/>
      </w:r>
    </w:p>
  </w:footnote>
  <w:footnote w:type="continuationSeparator" w:id="0">
    <w:p w:rsidR="003A5FAD" w:rsidRDefault="003A5FAD" w:rsidP="00E706DA">
      <w:pPr>
        <w:spacing w:after="0" w:line="240" w:lineRule="auto"/>
      </w:pPr>
      <w:r>
        <w:continuationSeparator/>
      </w:r>
    </w:p>
  </w:footnote>
  <w:footnote w:id="1">
    <w:p w:rsidR="00440A94" w:rsidRDefault="00440A94" w:rsidP="00440A94">
      <w:pPr>
        <w:pStyle w:val="Textonotapie"/>
        <w:jc w:val="both"/>
      </w:pPr>
      <w:r>
        <w:rPr>
          <w:rStyle w:val="Refdenotaalpie"/>
        </w:rPr>
        <w:footnoteRef/>
      </w:r>
      <w:r>
        <w:t xml:space="preserve"> CARBONELL, MIGUEL. “Las obligaciones del Estado en el artículo 1º. de la Constitución mexicana” en CARBONELL, Miguel y SALAZAR, Pedro, </w:t>
      </w:r>
      <w:proofErr w:type="spellStart"/>
      <w:r>
        <w:t>coords</w:t>
      </w:r>
      <w:proofErr w:type="spellEnd"/>
      <w:r>
        <w:t xml:space="preserve">. La reforma constitucional de derechos humanos. 2ª. Edición, México. </w:t>
      </w:r>
      <w:proofErr w:type="spellStart"/>
      <w:r>
        <w:t>Coed</w:t>
      </w:r>
      <w:proofErr w:type="spellEnd"/>
      <w:r>
        <w:t>. Porrúa e Instituto de Investigaciones Jurídicas de la UNAM, 2012. Pág. 68.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342A3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6" o:spid="_x0000_s2050" type="#_x0000_t136" style="position:absolute;margin-left:0;margin-top:0;width:541.8pt;height:81.2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342A3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7" o:spid="_x0000_s2051"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p w:rsidR="0050137A" w:rsidRDefault="00342A3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342A3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5" o:spid="_x0000_s2049" type="#_x0000_t136" style="position:absolute;margin-left:0;margin-top:0;width:541.8pt;height:81.25pt;rotation:315;z-index:-25165824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C0307"/>
    <w:multiLevelType w:val="hybridMultilevel"/>
    <w:tmpl w:val="BE16E4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486B75"/>
    <w:multiLevelType w:val="hybridMultilevel"/>
    <w:tmpl w:val="72103102"/>
    <w:lvl w:ilvl="0" w:tplc="080A0017">
      <w:start w:val="1"/>
      <w:numFmt w:val="lowerLetter"/>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2">
    <w:nsid w:val="099012DE"/>
    <w:multiLevelType w:val="hybridMultilevel"/>
    <w:tmpl w:val="EA74E3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E89530D"/>
    <w:multiLevelType w:val="hybridMultilevel"/>
    <w:tmpl w:val="15584D4E"/>
    <w:lvl w:ilvl="0" w:tplc="A7BC820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nsid w:val="10F83DE6"/>
    <w:multiLevelType w:val="hybridMultilevel"/>
    <w:tmpl w:val="C1B2697C"/>
    <w:lvl w:ilvl="0" w:tplc="080A0011">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5022D3A"/>
    <w:multiLevelType w:val="hybridMultilevel"/>
    <w:tmpl w:val="F56E487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7">
    <w:nsid w:val="182A35BD"/>
    <w:multiLevelType w:val="hybridMultilevel"/>
    <w:tmpl w:val="DBA045F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8">
    <w:nsid w:val="19B85689"/>
    <w:multiLevelType w:val="hybridMultilevel"/>
    <w:tmpl w:val="19D2FD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EA965F9"/>
    <w:multiLevelType w:val="hybridMultilevel"/>
    <w:tmpl w:val="0768A1EC"/>
    <w:lvl w:ilvl="0" w:tplc="9560166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A4A0C7A"/>
    <w:multiLevelType w:val="hybridMultilevel"/>
    <w:tmpl w:val="642EA64C"/>
    <w:lvl w:ilvl="0" w:tplc="224E67B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DD345BD"/>
    <w:multiLevelType w:val="hybridMultilevel"/>
    <w:tmpl w:val="74EE582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8E316A1"/>
    <w:multiLevelType w:val="hybridMultilevel"/>
    <w:tmpl w:val="B91042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4E679B9"/>
    <w:multiLevelType w:val="hybridMultilevel"/>
    <w:tmpl w:val="D2A20FBE"/>
    <w:lvl w:ilvl="0" w:tplc="08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53072BE"/>
    <w:multiLevelType w:val="hybridMultilevel"/>
    <w:tmpl w:val="79D0AE8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7A846AA"/>
    <w:multiLevelType w:val="hybridMultilevel"/>
    <w:tmpl w:val="7842D9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A8E6A07"/>
    <w:multiLevelType w:val="hybridMultilevel"/>
    <w:tmpl w:val="46DA79B2"/>
    <w:lvl w:ilvl="0" w:tplc="3D36AEA8">
      <w:start w:val="1"/>
      <w:numFmt w:val="decimal"/>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0">
    <w:nsid w:val="4C355A07"/>
    <w:multiLevelType w:val="hybridMultilevel"/>
    <w:tmpl w:val="BF5C9C5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C424AC2"/>
    <w:multiLevelType w:val="hybridMultilevel"/>
    <w:tmpl w:val="254C39B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54A3428"/>
    <w:multiLevelType w:val="hybridMultilevel"/>
    <w:tmpl w:val="CD42EC9E"/>
    <w:lvl w:ilvl="0" w:tplc="E8D6F5EE">
      <w:start w:val="4"/>
      <w:numFmt w:val="upperRoman"/>
      <w:lvlText w:val="%1."/>
      <w:lvlJc w:val="left"/>
      <w:pPr>
        <w:ind w:left="1080" w:hanging="720"/>
      </w:pPr>
      <w:rPr>
        <w:rFonts w:ascii="Palatino Linotype" w:eastAsiaTheme="majorEastAsia" w:hAnsi="Palatino Linotype" w:cstheme="majorBidi"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77202FA"/>
    <w:multiLevelType w:val="hybridMultilevel"/>
    <w:tmpl w:val="8A766AD2"/>
    <w:lvl w:ilvl="0" w:tplc="72EA014A">
      <w:start w:val="1"/>
      <w:numFmt w:val="decimal"/>
      <w:lvlText w:val="%1."/>
      <w:lvlJc w:val="left"/>
      <w:pPr>
        <w:ind w:left="360" w:hanging="360"/>
      </w:pPr>
      <w:rPr>
        <w:rFonts w:ascii="Palatino Linotype" w:eastAsia="Times New Roman" w:hAnsi="Palatino Linotype" w:hint="default"/>
        <w:b/>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7910C6E"/>
    <w:multiLevelType w:val="hybridMultilevel"/>
    <w:tmpl w:val="E14A8AFA"/>
    <w:lvl w:ilvl="0" w:tplc="9808DF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A537B6A"/>
    <w:multiLevelType w:val="hybridMultilevel"/>
    <w:tmpl w:val="80C6A34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6">
    <w:nsid w:val="5C6E328E"/>
    <w:multiLevelType w:val="hybridMultilevel"/>
    <w:tmpl w:val="47420AA0"/>
    <w:lvl w:ilvl="0" w:tplc="080A000F">
      <w:start w:val="1"/>
      <w:numFmt w:val="decimal"/>
      <w:lvlText w:val="%1."/>
      <w:lvlJc w:val="left"/>
      <w:pPr>
        <w:ind w:left="1571" w:hanging="360"/>
      </w:pPr>
      <w:rPr>
        <w:rFont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7">
    <w:nsid w:val="6205152E"/>
    <w:multiLevelType w:val="hybridMultilevel"/>
    <w:tmpl w:val="5D668F4E"/>
    <w:lvl w:ilvl="0" w:tplc="080A0017">
      <w:start w:val="1"/>
      <w:numFmt w:val="lowerLetter"/>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28">
    <w:nsid w:val="64461376"/>
    <w:multiLevelType w:val="hybridMultilevel"/>
    <w:tmpl w:val="7BA863C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89C7208"/>
    <w:multiLevelType w:val="hybridMultilevel"/>
    <w:tmpl w:val="038EDE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1">
    <w:nsid w:val="6C152896"/>
    <w:multiLevelType w:val="hybridMultilevel"/>
    <w:tmpl w:val="20E43D0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C176F4A"/>
    <w:multiLevelType w:val="hybridMultilevel"/>
    <w:tmpl w:val="65061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C5D7A86"/>
    <w:multiLevelType w:val="hybridMultilevel"/>
    <w:tmpl w:val="F27AE8CC"/>
    <w:lvl w:ilvl="0" w:tplc="C7DE2578">
      <w:start w:val="1"/>
      <w:numFmt w:val="decimal"/>
      <w:lvlText w:val="%1."/>
      <w:lvlJc w:val="left"/>
      <w:pPr>
        <w:ind w:left="1068" w:hanging="360"/>
      </w:pPr>
      <w:rPr>
        <w:rFonts w:eastAsia="Times New Roman"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4">
    <w:nsid w:val="6FBE1657"/>
    <w:multiLevelType w:val="hybridMultilevel"/>
    <w:tmpl w:val="943A0E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72586D57"/>
    <w:multiLevelType w:val="hybridMultilevel"/>
    <w:tmpl w:val="F800CD4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8704178"/>
    <w:multiLevelType w:val="hybridMultilevel"/>
    <w:tmpl w:val="AE825B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78A40145"/>
    <w:multiLevelType w:val="hybridMultilevel"/>
    <w:tmpl w:val="A914E30C"/>
    <w:lvl w:ilvl="0" w:tplc="1460E8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FB04662"/>
    <w:multiLevelType w:val="hybridMultilevel"/>
    <w:tmpl w:val="BE5A3E0E"/>
    <w:lvl w:ilvl="0" w:tplc="080A0017">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3"/>
  </w:num>
  <w:num w:numId="2">
    <w:abstractNumId w:val="2"/>
  </w:num>
  <w:num w:numId="3">
    <w:abstractNumId w:val="11"/>
  </w:num>
  <w:num w:numId="4">
    <w:abstractNumId w:val="17"/>
  </w:num>
  <w:num w:numId="5">
    <w:abstractNumId w:val="22"/>
  </w:num>
  <w:num w:numId="6">
    <w:abstractNumId w:val="24"/>
  </w:num>
  <w:num w:numId="7">
    <w:abstractNumId w:val="31"/>
  </w:num>
  <w:num w:numId="8">
    <w:abstractNumId w:val="29"/>
  </w:num>
  <w:num w:numId="9">
    <w:abstractNumId w:val="37"/>
  </w:num>
  <w:num w:numId="10">
    <w:abstractNumId w:val="3"/>
  </w:num>
  <w:num w:numId="11">
    <w:abstractNumId w:val="35"/>
  </w:num>
  <w:num w:numId="12">
    <w:abstractNumId w:val="14"/>
  </w:num>
  <w:num w:numId="13">
    <w:abstractNumId w:val="6"/>
  </w:num>
  <w:num w:numId="14">
    <w:abstractNumId w:val="10"/>
  </w:num>
  <w:num w:numId="15">
    <w:abstractNumId w:val="25"/>
  </w:num>
  <w:num w:numId="16">
    <w:abstractNumId w:val="0"/>
  </w:num>
  <w:num w:numId="17">
    <w:abstractNumId w:val="5"/>
  </w:num>
  <w:num w:numId="18">
    <w:abstractNumId w:val="40"/>
  </w:num>
  <w:num w:numId="19">
    <w:abstractNumId w:val="8"/>
  </w:num>
  <w:num w:numId="20">
    <w:abstractNumId w:val="28"/>
  </w:num>
  <w:num w:numId="21">
    <w:abstractNumId w:val="21"/>
  </w:num>
  <w:num w:numId="22">
    <w:abstractNumId w:val="19"/>
  </w:num>
  <w:num w:numId="23">
    <w:abstractNumId w:val="7"/>
  </w:num>
  <w:num w:numId="24">
    <w:abstractNumId w:val="18"/>
  </w:num>
  <w:num w:numId="25">
    <w:abstractNumId w:val="33"/>
  </w:num>
  <w:num w:numId="26">
    <w:abstractNumId w:val="26"/>
  </w:num>
  <w:num w:numId="27">
    <w:abstractNumId w:val="1"/>
  </w:num>
  <w:num w:numId="28">
    <w:abstractNumId w:val="39"/>
  </w:num>
  <w:num w:numId="29">
    <w:abstractNumId w:val="15"/>
  </w:num>
  <w:num w:numId="30">
    <w:abstractNumId w:val="27"/>
  </w:num>
  <w:num w:numId="31">
    <w:abstractNumId w:val="9"/>
  </w:num>
  <w:num w:numId="32">
    <w:abstractNumId w:val="38"/>
  </w:num>
  <w:num w:numId="33">
    <w:abstractNumId w:val="34"/>
  </w:num>
  <w:num w:numId="34">
    <w:abstractNumId w:val="13"/>
  </w:num>
  <w:num w:numId="35">
    <w:abstractNumId w:val="30"/>
  </w:num>
  <w:num w:numId="36">
    <w:abstractNumId w:val="4"/>
  </w:num>
  <w:num w:numId="37">
    <w:abstractNumId w:val="16"/>
  </w:num>
  <w:num w:numId="38">
    <w:abstractNumId w:val="20"/>
  </w:num>
  <w:num w:numId="39">
    <w:abstractNumId w:val="36"/>
  </w:num>
  <w:num w:numId="40">
    <w:abstractNumId w:val="32"/>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DA"/>
    <w:rsid w:val="0000525F"/>
    <w:rsid w:val="0001046D"/>
    <w:rsid w:val="0003585D"/>
    <w:rsid w:val="00052306"/>
    <w:rsid w:val="0006605E"/>
    <w:rsid w:val="00072966"/>
    <w:rsid w:val="00073F0D"/>
    <w:rsid w:val="000810AB"/>
    <w:rsid w:val="000951B4"/>
    <w:rsid w:val="000A3369"/>
    <w:rsid w:val="000A6B67"/>
    <w:rsid w:val="000A77B5"/>
    <w:rsid w:val="000A7B66"/>
    <w:rsid w:val="000B2003"/>
    <w:rsid w:val="000B7C6E"/>
    <w:rsid w:val="000D7900"/>
    <w:rsid w:val="000F6CBB"/>
    <w:rsid w:val="00122625"/>
    <w:rsid w:val="00143343"/>
    <w:rsid w:val="001455FC"/>
    <w:rsid w:val="0015651D"/>
    <w:rsid w:val="00164F1E"/>
    <w:rsid w:val="001754A4"/>
    <w:rsid w:val="001923C0"/>
    <w:rsid w:val="00194B6A"/>
    <w:rsid w:val="001B664C"/>
    <w:rsid w:val="001D3F34"/>
    <w:rsid w:val="0020315F"/>
    <w:rsid w:val="002036ED"/>
    <w:rsid w:val="00225026"/>
    <w:rsid w:val="002372DA"/>
    <w:rsid w:val="00260D6C"/>
    <w:rsid w:val="002620E9"/>
    <w:rsid w:val="002624B2"/>
    <w:rsid w:val="002648E8"/>
    <w:rsid w:val="002779B4"/>
    <w:rsid w:val="00281310"/>
    <w:rsid w:val="002A5533"/>
    <w:rsid w:val="002C0734"/>
    <w:rsid w:val="002C1F75"/>
    <w:rsid w:val="002D4C34"/>
    <w:rsid w:val="002E58A7"/>
    <w:rsid w:val="002F000B"/>
    <w:rsid w:val="00300B98"/>
    <w:rsid w:val="00342A35"/>
    <w:rsid w:val="00346DBD"/>
    <w:rsid w:val="00367E00"/>
    <w:rsid w:val="003705BB"/>
    <w:rsid w:val="003747A5"/>
    <w:rsid w:val="003934C5"/>
    <w:rsid w:val="003A5FAD"/>
    <w:rsid w:val="003C7100"/>
    <w:rsid w:val="003C7244"/>
    <w:rsid w:val="003D7B9E"/>
    <w:rsid w:val="0040354A"/>
    <w:rsid w:val="00412952"/>
    <w:rsid w:val="0042345D"/>
    <w:rsid w:val="00424DE3"/>
    <w:rsid w:val="00440A94"/>
    <w:rsid w:val="00444048"/>
    <w:rsid w:val="0046491C"/>
    <w:rsid w:val="00465C18"/>
    <w:rsid w:val="004802BA"/>
    <w:rsid w:val="0048490F"/>
    <w:rsid w:val="0049058E"/>
    <w:rsid w:val="00532410"/>
    <w:rsid w:val="00546812"/>
    <w:rsid w:val="005527D5"/>
    <w:rsid w:val="00567EC1"/>
    <w:rsid w:val="00575478"/>
    <w:rsid w:val="00587A4C"/>
    <w:rsid w:val="005917BE"/>
    <w:rsid w:val="005A15E9"/>
    <w:rsid w:val="005A3267"/>
    <w:rsid w:val="005D79D3"/>
    <w:rsid w:val="005F54C5"/>
    <w:rsid w:val="00616B05"/>
    <w:rsid w:val="006239A7"/>
    <w:rsid w:val="00634736"/>
    <w:rsid w:val="006728FD"/>
    <w:rsid w:val="0069498B"/>
    <w:rsid w:val="006D268B"/>
    <w:rsid w:val="00717C0D"/>
    <w:rsid w:val="0072058F"/>
    <w:rsid w:val="0072136B"/>
    <w:rsid w:val="0072725A"/>
    <w:rsid w:val="007343BB"/>
    <w:rsid w:val="00746812"/>
    <w:rsid w:val="0076241F"/>
    <w:rsid w:val="00770016"/>
    <w:rsid w:val="007879C6"/>
    <w:rsid w:val="00790E37"/>
    <w:rsid w:val="007A378A"/>
    <w:rsid w:val="007A7FAD"/>
    <w:rsid w:val="007B476C"/>
    <w:rsid w:val="007E3EA9"/>
    <w:rsid w:val="00810197"/>
    <w:rsid w:val="00814A43"/>
    <w:rsid w:val="00814E97"/>
    <w:rsid w:val="008361CA"/>
    <w:rsid w:val="008370F1"/>
    <w:rsid w:val="00850252"/>
    <w:rsid w:val="00856FA1"/>
    <w:rsid w:val="00872522"/>
    <w:rsid w:val="008822B3"/>
    <w:rsid w:val="008911CF"/>
    <w:rsid w:val="008920A8"/>
    <w:rsid w:val="008A3D2D"/>
    <w:rsid w:val="008B03B6"/>
    <w:rsid w:val="008D57F6"/>
    <w:rsid w:val="008E1DCC"/>
    <w:rsid w:val="008F3E81"/>
    <w:rsid w:val="00900E75"/>
    <w:rsid w:val="00902248"/>
    <w:rsid w:val="009156AC"/>
    <w:rsid w:val="0093177C"/>
    <w:rsid w:val="00933200"/>
    <w:rsid w:val="0093458D"/>
    <w:rsid w:val="00937D7D"/>
    <w:rsid w:val="0094239C"/>
    <w:rsid w:val="00952FF8"/>
    <w:rsid w:val="0095525C"/>
    <w:rsid w:val="0097582C"/>
    <w:rsid w:val="00987663"/>
    <w:rsid w:val="009C43B4"/>
    <w:rsid w:val="009C4EF6"/>
    <w:rsid w:val="009E165A"/>
    <w:rsid w:val="00A07EF4"/>
    <w:rsid w:val="00A26E97"/>
    <w:rsid w:val="00A31633"/>
    <w:rsid w:val="00A54D9D"/>
    <w:rsid w:val="00A626F8"/>
    <w:rsid w:val="00A63717"/>
    <w:rsid w:val="00A76109"/>
    <w:rsid w:val="00A80A1A"/>
    <w:rsid w:val="00A96F87"/>
    <w:rsid w:val="00AA49F3"/>
    <w:rsid w:val="00AB023D"/>
    <w:rsid w:val="00AB126B"/>
    <w:rsid w:val="00AC381E"/>
    <w:rsid w:val="00AC430A"/>
    <w:rsid w:val="00AD16A9"/>
    <w:rsid w:val="00AE4797"/>
    <w:rsid w:val="00B120CA"/>
    <w:rsid w:val="00B56CFE"/>
    <w:rsid w:val="00BA3743"/>
    <w:rsid w:val="00BB0520"/>
    <w:rsid w:val="00BB22FB"/>
    <w:rsid w:val="00BB5E12"/>
    <w:rsid w:val="00BC7B0C"/>
    <w:rsid w:val="00BE555F"/>
    <w:rsid w:val="00BF3534"/>
    <w:rsid w:val="00BF43E0"/>
    <w:rsid w:val="00C273B5"/>
    <w:rsid w:val="00C33F49"/>
    <w:rsid w:val="00C371B0"/>
    <w:rsid w:val="00C40065"/>
    <w:rsid w:val="00C44341"/>
    <w:rsid w:val="00C55ECD"/>
    <w:rsid w:val="00C7250F"/>
    <w:rsid w:val="00C74552"/>
    <w:rsid w:val="00CE0823"/>
    <w:rsid w:val="00CF544D"/>
    <w:rsid w:val="00D11CB8"/>
    <w:rsid w:val="00D26D87"/>
    <w:rsid w:val="00D33AF9"/>
    <w:rsid w:val="00D363F7"/>
    <w:rsid w:val="00D42526"/>
    <w:rsid w:val="00D447F1"/>
    <w:rsid w:val="00D47536"/>
    <w:rsid w:val="00D72985"/>
    <w:rsid w:val="00D7456D"/>
    <w:rsid w:val="00D7508B"/>
    <w:rsid w:val="00DA52E0"/>
    <w:rsid w:val="00DC63EE"/>
    <w:rsid w:val="00DD7C56"/>
    <w:rsid w:val="00DE24C8"/>
    <w:rsid w:val="00DF6665"/>
    <w:rsid w:val="00DF6F7E"/>
    <w:rsid w:val="00DF7B12"/>
    <w:rsid w:val="00E26799"/>
    <w:rsid w:val="00E34F08"/>
    <w:rsid w:val="00E41EA1"/>
    <w:rsid w:val="00E445F0"/>
    <w:rsid w:val="00E61AB8"/>
    <w:rsid w:val="00E706DA"/>
    <w:rsid w:val="00E75DEF"/>
    <w:rsid w:val="00E83E93"/>
    <w:rsid w:val="00E90EB5"/>
    <w:rsid w:val="00E91F07"/>
    <w:rsid w:val="00E94FBF"/>
    <w:rsid w:val="00EA711B"/>
    <w:rsid w:val="00EC772B"/>
    <w:rsid w:val="00ED1DD4"/>
    <w:rsid w:val="00EF0C2D"/>
    <w:rsid w:val="00EF2367"/>
    <w:rsid w:val="00EF6D60"/>
    <w:rsid w:val="00F35084"/>
    <w:rsid w:val="00F45161"/>
    <w:rsid w:val="00F46E78"/>
    <w:rsid w:val="00F5642A"/>
    <w:rsid w:val="00F841A1"/>
    <w:rsid w:val="00F857BC"/>
    <w:rsid w:val="00F86F9B"/>
    <w:rsid w:val="00FA59F5"/>
    <w:rsid w:val="00FA6542"/>
    <w:rsid w:val="00FC03CA"/>
    <w:rsid w:val="00FC2009"/>
    <w:rsid w:val="00FC228B"/>
    <w:rsid w:val="00FC2309"/>
    <w:rsid w:val="00FD4693"/>
    <w:rsid w:val="00FE5690"/>
    <w:rsid w:val="00FF0F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CCC4B86-6235-46F3-BD8F-C40EE9AF8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91C"/>
  </w:style>
  <w:style w:type="paragraph" w:styleId="Ttulo1">
    <w:name w:val="heading 1"/>
    <w:basedOn w:val="Normal"/>
    <w:next w:val="Normal"/>
    <w:link w:val="Ttulo1Car"/>
    <w:uiPriority w:val="9"/>
    <w:qFormat/>
    <w:rsid w:val="00E83E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5D79D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706D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706DA"/>
    <w:rPr>
      <w:rFonts w:ascii="Times New Roman" w:eastAsia="Arial Unicode MS" w:hAnsi="Times New Roman" w:cs="Times New Roman"/>
      <w:sz w:val="20"/>
      <w:szCs w:val="20"/>
      <w:bdr w:val="nil"/>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706DA"/>
    <w:rPr>
      <w:vertAlign w:val="superscript"/>
    </w:rPr>
  </w:style>
  <w:style w:type="paragraph" w:styleId="Piedepgina">
    <w:name w:val="footer"/>
    <w:basedOn w:val="Normal"/>
    <w:link w:val="Piedepgina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PiedepginaCar">
    <w:name w:val="Pie de página Car"/>
    <w:basedOn w:val="Fuentedeprrafopredeter"/>
    <w:link w:val="Piedepgina"/>
    <w:uiPriority w:val="99"/>
    <w:rsid w:val="00E706DA"/>
    <w:rPr>
      <w:rFonts w:ascii="Times New Roman" w:eastAsia="Arial Unicode MS" w:hAnsi="Times New Roman" w:cs="Times New Roman"/>
      <w:sz w:val="24"/>
      <w:szCs w:val="24"/>
      <w:bdr w:val="nil"/>
    </w:rPr>
  </w:style>
  <w:style w:type="paragraph" w:styleId="Encabezado">
    <w:name w:val="header"/>
    <w:basedOn w:val="Normal"/>
    <w:link w:val="Encabezado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EncabezadoCar">
    <w:name w:val="Encabezado Car"/>
    <w:basedOn w:val="Fuentedeprrafopredeter"/>
    <w:link w:val="Encabezado"/>
    <w:uiPriority w:val="99"/>
    <w:rsid w:val="00E706DA"/>
    <w:rPr>
      <w:rFonts w:ascii="Times New Roman" w:eastAsia="Arial Unicode MS" w:hAnsi="Times New Roman" w:cs="Times New Roman"/>
      <w:sz w:val="24"/>
      <w:szCs w:val="24"/>
      <w:bdr w:val="nil"/>
    </w:rPr>
  </w:style>
  <w:style w:type="table" w:styleId="Tabladecuadrcula1clara">
    <w:name w:val="Grid Table 1 Light"/>
    <w:basedOn w:val="Tablanormal"/>
    <w:uiPriority w:val="46"/>
    <w:rsid w:val="00E706DA"/>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E706DA"/>
    <w:pPr>
      <w:ind w:left="720"/>
      <w:contextualSpacing/>
    </w:pPr>
  </w:style>
  <w:style w:type="paragraph" w:styleId="Textodeglobo">
    <w:name w:val="Balloon Text"/>
    <w:basedOn w:val="Normal"/>
    <w:link w:val="TextodegloboCar"/>
    <w:uiPriority w:val="99"/>
    <w:semiHidden/>
    <w:unhideWhenUsed/>
    <w:rsid w:val="005A32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3267"/>
    <w:rPr>
      <w:rFonts w:ascii="Segoe UI" w:hAnsi="Segoe UI" w:cs="Segoe UI"/>
      <w:sz w:val="18"/>
      <w:szCs w:val="18"/>
    </w:rPr>
  </w:style>
  <w:style w:type="character" w:customStyle="1" w:styleId="Ttulo1Car">
    <w:name w:val="Título 1 Car"/>
    <w:basedOn w:val="Fuentedeprrafopredeter"/>
    <w:link w:val="Ttulo1"/>
    <w:uiPriority w:val="9"/>
    <w:rsid w:val="00E83E93"/>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83E93"/>
  </w:style>
  <w:style w:type="paragraph" w:styleId="TtulodeTDC">
    <w:name w:val="TOC Heading"/>
    <w:basedOn w:val="Ttulo1"/>
    <w:next w:val="Normal"/>
    <w:uiPriority w:val="39"/>
    <w:unhideWhenUsed/>
    <w:qFormat/>
    <w:rsid w:val="00E83E93"/>
    <w:pPr>
      <w:outlineLvl w:val="9"/>
    </w:pPr>
    <w:rPr>
      <w:lang w:eastAsia="es-MX"/>
    </w:rPr>
  </w:style>
  <w:style w:type="paragraph" w:styleId="TDC1">
    <w:name w:val="toc 1"/>
    <w:basedOn w:val="Normal"/>
    <w:next w:val="Normal"/>
    <w:autoRedefine/>
    <w:uiPriority w:val="39"/>
    <w:unhideWhenUsed/>
    <w:rsid w:val="003C7244"/>
    <w:pPr>
      <w:tabs>
        <w:tab w:val="left" w:pos="440"/>
        <w:tab w:val="right" w:leader="dot" w:pos="8828"/>
      </w:tabs>
      <w:spacing w:after="100" w:line="720" w:lineRule="auto"/>
    </w:pPr>
  </w:style>
  <w:style w:type="character" w:styleId="Hipervnculo">
    <w:name w:val="Hyperlink"/>
    <w:basedOn w:val="Fuentedeprrafopredeter"/>
    <w:uiPriority w:val="99"/>
    <w:unhideWhenUsed/>
    <w:rsid w:val="00E83E93"/>
    <w:rPr>
      <w:color w:val="0563C1" w:themeColor="hyperlink"/>
      <w:u w:val="single"/>
    </w:rPr>
  </w:style>
  <w:style w:type="paragraph" w:styleId="Sinespaciado">
    <w:name w:val="No Spacing"/>
    <w:aliases w:val="Francesa"/>
    <w:link w:val="SinespaciadoCar"/>
    <w:uiPriority w:val="1"/>
    <w:qFormat/>
    <w:rsid w:val="00850252"/>
    <w:pPr>
      <w:spacing w:after="0" w:line="240" w:lineRule="auto"/>
    </w:pPr>
  </w:style>
  <w:style w:type="character" w:customStyle="1" w:styleId="apple-converted-space">
    <w:name w:val="apple-converted-space"/>
    <w:basedOn w:val="Fuentedeprrafopredeter"/>
    <w:rsid w:val="0046491C"/>
  </w:style>
  <w:style w:type="table" w:styleId="Tablaconcuadrcula">
    <w:name w:val="Table Grid"/>
    <w:basedOn w:val="Tablanormal"/>
    <w:uiPriority w:val="59"/>
    <w:rsid w:val="00AE4797"/>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2">
    <w:name w:val="toc 2"/>
    <w:basedOn w:val="Normal"/>
    <w:next w:val="Normal"/>
    <w:autoRedefine/>
    <w:uiPriority w:val="39"/>
    <w:unhideWhenUsed/>
    <w:rsid w:val="00DA52E0"/>
    <w:pPr>
      <w:spacing w:after="100"/>
      <w:ind w:left="220"/>
    </w:pPr>
  </w:style>
  <w:style w:type="character" w:customStyle="1" w:styleId="Ttulo2Car">
    <w:name w:val="Título 2 Car"/>
    <w:basedOn w:val="Fuentedeprrafopredeter"/>
    <w:link w:val="Ttulo2"/>
    <w:uiPriority w:val="9"/>
    <w:rsid w:val="005D79D3"/>
    <w:rPr>
      <w:rFonts w:asciiTheme="majorHAnsi" w:eastAsiaTheme="majorEastAsia" w:hAnsiTheme="majorHAnsi" w:cstheme="majorBidi"/>
      <w:color w:val="2E74B5" w:themeColor="accent1" w:themeShade="BF"/>
      <w:sz w:val="26"/>
      <w:szCs w:val="26"/>
    </w:rPr>
  </w:style>
  <w:style w:type="character" w:customStyle="1" w:styleId="SinespaciadoCar">
    <w:name w:val="Sin espaciado Car"/>
    <w:aliases w:val="Francesa Car"/>
    <w:link w:val="Sinespaciado"/>
    <w:uiPriority w:val="1"/>
    <w:locked/>
    <w:rsid w:val="001754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2192602">
      <w:bodyDiv w:val="1"/>
      <w:marLeft w:val="0"/>
      <w:marRight w:val="0"/>
      <w:marTop w:val="0"/>
      <w:marBottom w:val="0"/>
      <w:divBdr>
        <w:top w:val="none" w:sz="0" w:space="0" w:color="auto"/>
        <w:left w:val="none" w:sz="0" w:space="0" w:color="auto"/>
        <w:bottom w:val="none" w:sz="0" w:space="0" w:color="auto"/>
        <w:right w:val="none" w:sz="0" w:space="0" w:color="auto"/>
      </w:divBdr>
    </w:div>
    <w:div w:id="202535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72F44-6109-4332-B237-C05E96381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14</Pages>
  <Words>2711</Words>
  <Characters>14912</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cp:lastPrinted>2017-05-22T19:49:00Z</cp:lastPrinted>
  <dcterms:created xsi:type="dcterms:W3CDTF">2018-12-17T18:10:00Z</dcterms:created>
  <dcterms:modified xsi:type="dcterms:W3CDTF">2019-01-30T01:44:00Z</dcterms:modified>
</cp:coreProperties>
</file>